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DD" w:rsidRDefault="002737DD" w:rsidP="002737DD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CB206E2" wp14:editId="24BEB504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7DD" w:rsidRDefault="002737DD" w:rsidP="002737DD">
      <w:pPr>
        <w:tabs>
          <w:tab w:val="left" w:pos="1332"/>
        </w:tabs>
        <w:spacing w:line="240" w:lineRule="auto"/>
        <w:rPr>
          <w:szCs w:val="24"/>
        </w:rPr>
      </w:pPr>
      <w:r>
        <w:rPr>
          <w:szCs w:val="24"/>
        </w:rPr>
        <w:tab/>
      </w:r>
    </w:p>
    <w:p w:rsidR="002737DD" w:rsidRDefault="002737DD" w:rsidP="002737DD">
      <w:pPr>
        <w:spacing w:after="0" w:line="240" w:lineRule="auto"/>
        <w:jc w:val="center"/>
        <w:rPr>
          <w:sz w:val="36"/>
          <w:szCs w:val="24"/>
        </w:rPr>
      </w:pPr>
      <w:proofErr w:type="spellStart"/>
      <w:r w:rsidRPr="00BE7221">
        <w:rPr>
          <w:sz w:val="36"/>
          <w:szCs w:val="24"/>
        </w:rPr>
        <w:t>Latvijas</w:t>
      </w:r>
      <w:proofErr w:type="spellEnd"/>
      <w:r w:rsidRPr="00BE7221">
        <w:rPr>
          <w:sz w:val="36"/>
          <w:szCs w:val="24"/>
        </w:rPr>
        <w:t xml:space="preserve"> </w:t>
      </w:r>
      <w:proofErr w:type="spellStart"/>
      <w:r w:rsidRPr="00BE7221">
        <w:rPr>
          <w:sz w:val="36"/>
          <w:szCs w:val="24"/>
        </w:rPr>
        <w:t>Universitātes</w:t>
      </w:r>
      <w:proofErr w:type="spellEnd"/>
      <w:r w:rsidRPr="00BE7221">
        <w:rPr>
          <w:sz w:val="36"/>
          <w:szCs w:val="24"/>
        </w:rPr>
        <w:t xml:space="preserve"> </w:t>
      </w:r>
      <w:proofErr w:type="spellStart"/>
      <w:r>
        <w:rPr>
          <w:sz w:val="36"/>
          <w:szCs w:val="24"/>
        </w:rPr>
        <w:t>Basketbola</w:t>
      </w:r>
      <w:proofErr w:type="spellEnd"/>
      <w:r>
        <w:rPr>
          <w:sz w:val="36"/>
          <w:szCs w:val="24"/>
        </w:rPr>
        <w:t xml:space="preserve"> </w:t>
      </w:r>
      <w:proofErr w:type="spellStart"/>
      <w:r>
        <w:rPr>
          <w:sz w:val="36"/>
          <w:szCs w:val="24"/>
        </w:rPr>
        <w:t>līgas</w:t>
      </w:r>
      <w:proofErr w:type="spellEnd"/>
    </w:p>
    <w:p w:rsidR="002737DD" w:rsidRPr="00934FC6" w:rsidRDefault="002737DD" w:rsidP="002737DD">
      <w:pPr>
        <w:spacing w:after="0" w:line="240" w:lineRule="auto"/>
        <w:jc w:val="center"/>
        <w:rPr>
          <w:szCs w:val="24"/>
        </w:rPr>
      </w:pPr>
      <w:r>
        <w:rPr>
          <w:sz w:val="36"/>
          <w:szCs w:val="24"/>
        </w:rPr>
        <w:t xml:space="preserve">17. </w:t>
      </w:r>
      <w:proofErr w:type="spellStart"/>
      <w:r>
        <w:rPr>
          <w:sz w:val="36"/>
          <w:szCs w:val="24"/>
        </w:rPr>
        <w:t>sezonas</w:t>
      </w:r>
      <w:proofErr w:type="spellEnd"/>
      <w:r>
        <w:rPr>
          <w:sz w:val="36"/>
          <w:szCs w:val="24"/>
        </w:rPr>
        <w:t xml:space="preserve"> (2020.</w:t>
      </w:r>
      <w:r w:rsidR="00835332">
        <w:rPr>
          <w:sz w:val="36"/>
          <w:szCs w:val="24"/>
        </w:rPr>
        <w:t xml:space="preserve"> </w:t>
      </w:r>
      <w:r>
        <w:rPr>
          <w:sz w:val="36"/>
          <w:szCs w:val="24"/>
        </w:rPr>
        <w:t>/</w:t>
      </w:r>
      <w:r w:rsidR="00835332">
        <w:rPr>
          <w:sz w:val="36"/>
          <w:szCs w:val="24"/>
        </w:rPr>
        <w:t xml:space="preserve"> </w:t>
      </w:r>
      <w:r>
        <w:rPr>
          <w:sz w:val="36"/>
          <w:szCs w:val="24"/>
        </w:rPr>
        <w:t xml:space="preserve">2021. </w:t>
      </w:r>
      <w:proofErr w:type="spellStart"/>
      <w:r>
        <w:rPr>
          <w:sz w:val="36"/>
          <w:szCs w:val="24"/>
        </w:rPr>
        <w:t>gada</w:t>
      </w:r>
      <w:proofErr w:type="spellEnd"/>
      <w:r>
        <w:rPr>
          <w:sz w:val="36"/>
          <w:szCs w:val="24"/>
        </w:rPr>
        <w:t xml:space="preserve"> </w:t>
      </w:r>
      <w:proofErr w:type="spellStart"/>
      <w:r>
        <w:rPr>
          <w:sz w:val="36"/>
          <w:szCs w:val="24"/>
        </w:rPr>
        <w:t>sezona</w:t>
      </w:r>
      <w:proofErr w:type="spellEnd"/>
      <w:r>
        <w:rPr>
          <w:sz w:val="36"/>
          <w:szCs w:val="24"/>
        </w:rPr>
        <w:t>)</w:t>
      </w:r>
    </w:p>
    <w:p w:rsidR="002737DD" w:rsidRPr="00991C4B" w:rsidRDefault="002737DD" w:rsidP="002737DD">
      <w:pPr>
        <w:spacing w:after="0" w:line="240" w:lineRule="auto"/>
        <w:jc w:val="center"/>
        <w:rPr>
          <w:b/>
          <w:sz w:val="40"/>
          <w:szCs w:val="24"/>
        </w:rPr>
      </w:pPr>
      <w:r w:rsidRPr="00991C4B">
        <w:rPr>
          <w:b/>
          <w:sz w:val="40"/>
          <w:szCs w:val="24"/>
        </w:rPr>
        <w:t>NOLIKUMS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Mērķis</w:t>
      </w:r>
      <w:proofErr w:type="spellEnd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uzdevumi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Popularizēt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tekstā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- LU)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studējošo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mācībspēku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vidū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Veicināt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izaugsmi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patriotismu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fakultāti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LU.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Noskaidrot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čempionus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Organizatori</w:t>
      </w:r>
      <w:proofErr w:type="spellEnd"/>
    </w:p>
    <w:p w:rsidR="002737DD" w:rsidRDefault="002737DD" w:rsidP="0027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2.1.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Latvij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centrs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tekstā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– LU SC).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2.2.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to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sastāvu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izmaiņām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2.3.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kalendāru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izmaiņām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2.4.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norisi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Nolikumam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FIBA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tiesnešu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sekretariāta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nozīmēšanu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2.5.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protestu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disciplināro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jautājumu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konfliktsituāciju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risināšanu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konfliktu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sastāvā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ietilpst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 SC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pārstāvis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izlases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treneris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37DD" w:rsidRPr="002737DD" w:rsidRDefault="002737DD" w:rsidP="0027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Edvards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Dalībnieki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3.1.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čempionātā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iesaistīties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ikviens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studējošais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darbinieks.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absolventi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diploma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saņemšanas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Sezonā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spēlētājus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Dalībnieks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vienā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mainīt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t>.gada 15.februārim.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3.3.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izslēgšanas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jeb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play-off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turnīrā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dalībnieks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regulārajā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čempionātā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aizvadījis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40%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Erasmus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programmā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iesaistītajiem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jāaizvada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40 %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brīža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viņi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Latvijā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informējot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to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3.4.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3.3.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neattiecas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akadēmisko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personālu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3.5.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atbildīgā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sniegto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pareizību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3.6.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dalībnieku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iepazīstināšanu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Nolikumu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lēmumiem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3.7. Students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pārstāvēt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fakultātes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obligāti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to,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studē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Dalības</w:t>
      </w:r>
      <w:proofErr w:type="spellEnd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maksa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4.1. Lai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piedalītos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abonementu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17,22-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ieskaitot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PVN)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4.2.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turnīra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galvenajam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tieši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jāuzrāda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spēlējošo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maksājuma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uzdevumi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reģistrācijas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maksas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veikšanu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Pieteikumi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ezo</w:t>
      </w:r>
      <w:r w:rsidR="00734758">
        <w:rPr>
          <w:rFonts w:ascii="Times New Roman" w:eastAsia="Times New Roman" w:hAnsi="Times New Roman" w:cs="Times New Roman"/>
          <w:sz w:val="24"/>
          <w:szCs w:val="24"/>
        </w:rPr>
        <w:t>nā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jāiesniedz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23.59,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elektroniskā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sūtot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kalvis.kazaks@lu.lv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5.2.Komandu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sastāva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anketa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izsūtīta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kapteiņiem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</w:t>
      </w:r>
      <w:r w:rsidR="0083533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saņemšanas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jāiesūta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 23:59.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kapteinis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rīcību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uzvedību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disciplīnu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>6.2. 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laicīgi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informē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kalendāru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izmaiņām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6.3.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katras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aizpilda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protokolu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sekretāram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6.4.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kārtību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tīrību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zālē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ģērbtuvēs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kārtība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regulārajā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čempionātā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ceturtdaļfinālā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pusfinālā</w:t>
      </w:r>
      <w:proofErr w:type="spellEnd"/>
      <w:r w:rsidR="00FC4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04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FC404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4 x 8 min.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Papildlaiks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minūtes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Minūtes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pārtraukumi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-1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pirmajā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puslaikā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2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otrajā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Finālā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  4x10 min.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saskaņā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Nolikumu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FIBA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oficiālajiem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7.2.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regulārais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čempionāts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2020.gada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aprīlim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7.3.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Uzvara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vērtēta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zaudējums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neattaisnoti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neierodas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piešķirts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zaudējums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0 : 20.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7.4.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ieguvusi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lielāku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skaitu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ieņem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augstāku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tabulā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divām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vienāds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augstāku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iegūst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kurai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7.4.1.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labāka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savstarpējo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bilance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7.4.2.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labāka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iegūto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zaudētu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starpība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savstarpējās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7.5.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ierasties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par to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jāinformē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sākuma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7.6.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Turnīra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</w:t>
      </w:r>
      <w:r w:rsidR="008353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4758">
        <w:rPr>
          <w:rFonts w:ascii="Times New Roman" w:eastAsia="Times New Roman" w:hAnsi="Times New Roman" w:cs="Times New Roman"/>
          <w:sz w:val="24"/>
          <w:szCs w:val="24"/>
        </w:rPr>
        <w:t>andu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apstiprināts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novembrī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7.6.1.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Turnīra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izsp</w:t>
      </w:r>
      <w:r w:rsidR="00835332">
        <w:rPr>
          <w:rFonts w:ascii="Times New Roman" w:eastAsia="Times New Roman" w:hAnsi="Times New Roman" w:cs="Times New Roman"/>
          <w:sz w:val="24"/>
          <w:szCs w:val="24"/>
        </w:rPr>
        <w:t>ē</w:t>
      </w:r>
      <w:r w:rsidR="00734758"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apstiprināta</w:t>
      </w:r>
      <w:proofErr w:type="spellEnd"/>
      <w:r w:rsidR="00734758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="00734758">
        <w:rPr>
          <w:rFonts w:ascii="Times New Roman" w:eastAsia="Times New Roman" w:hAnsi="Times New Roman" w:cs="Times New Roman"/>
          <w:sz w:val="24"/>
          <w:szCs w:val="24"/>
        </w:rPr>
        <w:t>novembrī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7.7.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izslēgšanas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jeb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play-off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turnīrs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332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="0083533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maijā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7.8.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uzsākt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aizvadīt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četru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sastāvā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332" w:rsidRDefault="00835332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32" w:rsidRPr="002737DD" w:rsidRDefault="00835332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Tiesneši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apkalpo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divi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laukuma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tiesneši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sekretārs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Sekretāram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jāsaskaita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cik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punktus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guvis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katrs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Sekretārs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atbildīgi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protokola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pareizu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glītu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aizpildīšanu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galīgo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noformēšanu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8.2.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Laukuma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tiesnešiem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sekretariātam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jāpilda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FIBA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oficiālajos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noteikumos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Nolikumā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paredzētās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prasības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8.3.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visām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laukuma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tiesnešus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sekretārus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nozīmē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Kalendārs</w:t>
      </w:r>
      <w:proofErr w:type="spellEnd"/>
    </w:p>
    <w:p w:rsidR="002737DD" w:rsidRPr="002737DD" w:rsidRDefault="00835332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LU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kalendārs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apstiprināts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F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norises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9.2.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Organizatoriskas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izmainīt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kalendāru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paziņojot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to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izmaiņām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saistītajām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komandām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vēlāk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kalendārā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paredzētās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sākuma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9.3. Ja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nepieciešamas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izmaiņas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kalendārā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komandai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paredzētās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jāvienojas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pretinieku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pārcelšanu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informējot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to LUBL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galveno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tiesnesi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9.4. Play-off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apstiprināto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kalendāru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mainīt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nedrīkst</w:t>
      </w:r>
      <w:proofErr w:type="spellEnd"/>
      <w:r w:rsidR="002737DD"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Apbalvošana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10.1.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čempiona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titula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ieguvēji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apbalvoti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kausu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10.2.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1. - 3.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apbalvoti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medaļām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10.3. LU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līgas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noslēgumā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piešķir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sekojošas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individuālās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balvas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10.3.1.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vērtīgākais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10.3.2.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simboliskais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zvaigžņu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piecinieks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10.4.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mēnesi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noteikts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spēlētājs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Protesti</w:t>
      </w:r>
      <w:proofErr w:type="spellEnd"/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11.1.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pārliecināta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NOLIKUMA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FIBA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noteikumu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neievērošanas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pārkāptas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intereses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ietekmēts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rezultāts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neatzīst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galīgo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iesniegt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rakstisku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PROTESTU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sīks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notikuma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izklāsts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drošības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naudu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15 EUR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galvenajam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dotās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beigu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tam OBLIGĀTI IZPILDOT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sekojošu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procedūru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11.1.1.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uzreiz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attiecīgā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momenta,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tiklīdz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bumba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mirusi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jāpaziņo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vecākajam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konkrēto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iesniegts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protests;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11.1.2.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vecākā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tiesneša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paskaidrojumiem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attiecībā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notikušo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vēlas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iesniegt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protestu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jāatzīmē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noticis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incidents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jāparakstās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protokolā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speciāli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paredzētajā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11.1.3. 15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minūšu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beigu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signāla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kapteinis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pārdomājis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vecākajam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tiesnesim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jāiesniedz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parakstīts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protesta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iesniegšanas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apstiprinājums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sīki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jāpaskaidro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notikušais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11.2. Ja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pilnībā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izpildīts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punktā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11.1.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paredzētais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PROTESTS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pieņemts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lastRenderedPageBreak/>
        <w:t>izskatīts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11.3.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Protestus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izskata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konfliktu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lēmums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paziņots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konfliktā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iesaistītajām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pusēm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72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protesta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iesniegšanas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brīža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11.4.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konfliktu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komisijas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lēmums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galīgs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DD" w:rsidRP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Sponsoru</w:t>
      </w:r>
      <w:proofErr w:type="spellEnd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pozicionējums</w:t>
      </w:r>
      <w:proofErr w:type="spellEnd"/>
    </w:p>
    <w:p w:rsidR="002737DD" w:rsidRDefault="002737DD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12.1.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dalībnieku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atļauts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piesaistīt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sponsorus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pozicionēt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grafiskā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formām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iekļaut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nosaukumu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nosaukuma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2.daļā (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: ''JF/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Krogs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Brālis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'').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12.2.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Jebkāds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sponsoru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pozicionējums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neatkarīgi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iekļauts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grafiskā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spēļu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formām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iekļauts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nosaukumā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jāsaskaņo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organizatoriem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12.3.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organizatori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patur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noraidīt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sponsora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iekļaušanu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pozicionējumā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formām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nosaukumā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12.4.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Komandu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sponsoru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saskaņojums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LUBL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organizatoriem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jāveic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eastAsia="Times New Roman" w:hAnsi="Times New Roman" w:cs="Times New Roman"/>
          <w:sz w:val="24"/>
          <w:szCs w:val="24"/>
        </w:rPr>
        <w:t>sezonu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3A0" w:rsidRDefault="008363A0" w:rsidP="0083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Kontakti</w:t>
      </w:r>
      <w:proofErr w:type="spellEnd"/>
    </w:p>
    <w:p w:rsidR="008363A0" w:rsidRPr="002737DD" w:rsidRDefault="008363A0" w:rsidP="0083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="00134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429">
        <w:rPr>
          <w:rFonts w:ascii="Times New Roman" w:eastAsia="Times New Roman" w:hAnsi="Times New Roman" w:cs="Times New Roman"/>
          <w:sz w:val="24"/>
          <w:szCs w:val="24"/>
        </w:rPr>
        <w:t>tiesnesis</w:t>
      </w:r>
      <w:proofErr w:type="spellEnd"/>
      <w:r w:rsidR="0013442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134429">
        <w:rPr>
          <w:rFonts w:ascii="Times New Roman" w:eastAsia="Times New Roman" w:hAnsi="Times New Roman" w:cs="Times New Roman"/>
          <w:sz w:val="24"/>
          <w:szCs w:val="24"/>
        </w:rPr>
        <w:t>Edvards</w:t>
      </w:r>
      <w:proofErr w:type="spellEnd"/>
      <w:r w:rsidR="00134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429">
        <w:rPr>
          <w:rFonts w:ascii="Times New Roman" w:eastAsia="Times New Roman" w:hAnsi="Times New Roman" w:cs="Times New Roman"/>
          <w:sz w:val="24"/>
          <w:szCs w:val="24"/>
        </w:rPr>
        <w:t>Lucis</w:t>
      </w:r>
      <w:proofErr w:type="spellEnd"/>
      <w:r w:rsidR="00134429">
        <w:rPr>
          <w:rFonts w:ascii="Times New Roman" w:eastAsia="Times New Roman" w:hAnsi="Times New Roman" w:cs="Times New Roman"/>
          <w:sz w:val="24"/>
          <w:szCs w:val="24"/>
        </w:rPr>
        <w:t>: 26396786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br/>
        <w:t xml:space="preserve">12.2. </w:t>
      </w:r>
      <w:r w:rsidR="00134429">
        <w:rPr>
          <w:rFonts w:ascii="Times New Roman" w:eastAsia="Times New Roman" w:hAnsi="Times New Roman" w:cs="Times New Roman"/>
          <w:sz w:val="24"/>
          <w:szCs w:val="24"/>
        </w:rPr>
        <w:t xml:space="preserve">LUBL </w:t>
      </w:r>
      <w:proofErr w:type="spellStart"/>
      <w:r w:rsidR="00134429"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 w:rsidR="00134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429">
        <w:rPr>
          <w:rFonts w:ascii="Times New Roman" w:eastAsia="Times New Roman" w:hAnsi="Times New Roman" w:cs="Times New Roman"/>
          <w:sz w:val="24"/>
          <w:szCs w:val="24"/>
        </w:rPr>
        <w:t>organizators</w:t>
      </w:r>
      <w:proofErr w:type="spellEnd"/>
      <w:r w:rsidR="0013442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134429">
        <w:rPr>
          <w:rFonts w:ascii="Times New Roman" w:eastAsia="Times New Roman" w:hAnsi="Times New Roman" w:cs="Times New Roman"/>
          <w:sz w:val="24"/>
          <w:szCs w:val="24"/>
        </w:rPr>
        <w:t>Kalvis</w:t>
      </w:r>
      <w:proofErr w:type="spellEnd"/>
      <w:r w:rsidR="00134429">
        <w:rPr>
          <w:rFonts w:ascii="Times New Roman" w:eastAsia="Times New Roman" w:hAnsi="Times New Roman" w:cs="Times New Roman"/>
          <w:sz w:val="24"/>
          <w:szCs w:val="24"/>
        </w:rPr>
        <w:t xml:space="preserve"> Kazaks: </w:t>
      </w:r>
      <w:hyperlink r:id="rId5" w:history="1">
        <w:r w:rsidR="00134429" w:rsidRPr="00DE69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kalvis.kazaks@lu.lv</w:t>
        </w:r>
      </w:hyperlink>
      <w:r w:rsidR="00134429">
        <w:rPr>
          <w:rFonts w:ascii="Times New Roman" w:eastAsia="Times New Roman" w:hAnsi="Times New Roman" w:cs="Times New Roman"/>
          <w:sz w:val="24"/>
          <w:szCs w:val="24"/>
        </w:rPr>
        <w:t>, 26243522</w:t>
      </w:r>
    </w:p>
    <w:p w:rsidR="008363A0" w:rsidRPr="002737DD" w:rsidRDefault="008363A0" w:rsidP="002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98" w:rsidRDefault="00401898"/>
    <w:sectPr w:rsidR="0040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DD"/>
    <w:rsid w:val="00000815"/>
    <w:rsid w:val="000E1CF2"/>
    <w:rsid w:val="00134429"/>
    <w:rsid w:val="002737DD"/>
    <w:rsid w:val="00401898"/>
    <w:rsid w:val="00734758"/>
    <w:rsid w:val="007841D1"/>
    <w:rsid w:val="00835332"/>
    <w:rsid w:val="008363A0"/>
    <w:rsid w:val="00BF6196"/>
    <w:rsid w:val="00C44BF6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7173"/>
  <w15:chartTrackingRefBased/>
  <w15:docId w15:val="{D651A771-55D8-44DD-9943-0612ABFC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3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7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justify">
    <w:name w:val="text-justify"/>
    <w:basedOn w:val="Normal"/>
    <w:rsid w:val="0027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37D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vis.kazaks@lu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2020-10-14T11:17:00Z</dcterms:created>
  <dcterms:modified xsi:type="dcterms:W3CDTF">2020-10-14T11:23:00Z</dcterms:modified>
</cp:coreProperties>
</file>