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2E" w:rsidRPr="00983349" w:rsidRDefault="00A1289B" w:rsidP="00C2112E">
      <w:pPr>
        <w:jc w:val="right"/>
        <w:rPr>
          <w:rFonts w:ascii="Times New Roman" w:hAnsi="Times New Roman"/>
          <w:b/>
          <w:color w:val="FFFFFF" w:themeColor="background1"/>
        </w:rPr>
      </w:pPr>
      <w:r>
        <w:rPr>
          <w:rFonts w:ascii="Times New Roman" w:hAnsi="Times New Roman"/>
          <w:b/>
          <w:color w:val="FFFFFF" w:themeColor="background1"/>
        </w:rPr>
        <w:t>NNNKJINB BKJBVKHB DCVF</w:t>
      </w:r>
      <w:r w:rsidR="00C2112E" w:rsidRPr="00983349">
        <w:rPr>
          <w:rFonts w:ascii="Times New Roman" w:hAnsi="Times New Roman"/>
          <w:b/>
          <w:color w:val="FFFFFF" w:themeColor="background1"/>
        </w:rPr>
        <w:t>IZ</w:t>
      </w:r>
      <w:r>
        <w:rPr>
          <w:rFonts w:ascii="Times New Roman" w:hAnsi="Times New Roman"/>
          <w:b/>
          <w:color w:val="FFFFFF" w:themeColor="background1"/>
        </w:rPr>
        <w:t>NOIKHDSJBHVDSJKGTDRHYDHHG</w:t>
      </w:r>
      <w:r w:rsidR="00C2112E" w:rsidRPr="00983349">
        <w:rPr>
          <w:rFonts w:ascii="Times New Roman" w:hAnsi="Times New Roman"/>
          <w:b/>
          <w:color w:val="FFFFFF" w:themeColor="background1"/>
        </w:rPr>
        <w:t>RAKSTS</w:t>
      </w:r>
    </w:p>
    <w:p w:rsidR="008F1BAE" w:rsidRPr="00365D1C" w:rsidRDefault="00391387" w:rsidP="000101B3">
      <w:pPr>
        <w:jc w:val="center"/>
        <w:rPr>
          <w:rFonts w:ascii="Times New Roman" w:hAnsi="Times New Roman"/>
          <w:b/>
        </w:rPr>
      </w:pPr>
      <w:r w:rsidRPr="00365D1C">
        <w:rPr>
          <w:rFonts w:ascii="Times New Roman" w:hAnsi="Times New Roman"/>
          <w:b/>
        </w:rPr>
        <w:t>LĒMUMS</w:t>
      </w:r>
    </w:p>
    <w:p w:rsidR="008F1BAE" w:rsidRPr="00365D1C" w:rsidRDefault="008F1BAE" w:rsidP="000101B3">
      <w:pPr>
        <w:jc w:val="center"/>
        <w:rPr>
          <w:rFonts w:ascii="Times New Roman" w:hAnsi="Times New Roman"/>
        </w:rPr>
      </w:pPr>
      <w:r w:rsidRPr="00365D1C">
        <w:rPr>
          <w:rFonts w:ascii="Times New Roman" w:hAnsi="Times New Roman"/>
          <w:b/>
        </w:rPr>
        <w:t>p</w:t>
      </w:r>
      <w:r w:rsidRPr="00365D1C">
        <w:rPr>
          <w:rFonts w:ascii="Times New Roman" w:hAnsi="Times New Roman"/>
          <w:b/>
          <w:bCs/>
        </w:rPr>
        <w:t>ar rezultātiem</w:t>
      </w:r>
    </w:p>
    <w:p w:rsidR="00391387" w:rsidRPr="00365D1C" w:rsidRDefault="00391387" w:rsidP="000101B3">
      <w:pPr>
        <w:jc w:val="center"/>
        <w:rPr>
          <w:rFonts w:ascii="Times New Roman" w:hAnsi="Times New Roman"/>
        </w:rPr>
      </w:pPr>
      <w:r w:rsidRPr="00365D1C">
        <w:rPr>
          <w:rFonts w:ascii="Times New Roman" w:hAnsi="Times New Roman"/>
        </w:rPr>
        <w:t xml:space="preserve">Publisko iepirkumu likuma </w:t>
      </w:r>
      <w:r w:rsidR="00EF4CAE">
        <w:rPr>
          <w:rFonts w:ascii="Times New Roman" w:hAnsi="Times New Roman"/>
        </w:rPr>
        <w:t>9.</w:t>
      </w:r>
      <w:r w:rsidRPr="00365D1C">
        <w:rPr>
          <w:rFonts w:ascii="Times New Roman" w:hAnsi="Times New Roman"/>
        </w:rPr>
        <w:t xml:space="preserve"> panta kārtībā veiktajā iepirkumā</w:t>
      </w:r>
    </w:p>
    <w:p w:rsidR="00A94B8B" w:rsidRDefault="000101B3" w:rsidP="00A94B8B">
      <w:pPr>
        <w:pStyle w:val="BodyTextIndent"/>
        <w:spacing w:after="0"/>
        <w:ind w:left="0"/>
        <w:jc w:val="center"/>
        <w:rPr>
          <w:rFonts w:ascii="Times New Roman" w:hAnsi="Times New Roman"/>
          <w:b/>
        </w:rPr>
      </w:pPr>
      <w:r w:rsidRPr="00A94B8B">
        <w:rPr>
          <w:rFonts w:ascii="Times New Roman" w:hAnsi="Times New Roman"/>
          <w:b/>
          <w:bCs/>
          <w:iCs/>
          <w:lang w:eastAsia="lv-LV"/>
        </w:rPr>
        <w:t>“</w:t>
      </w:r>
      <w:r w:rsidR="00100551">
        <w:rPr>
          <w:rFonts w:eastAsia="Calibri"/>
          <w:b/>
          <w:bCs/>
          <w:iCs/>
          <w:lang w:eastAsia="lv-LV"/>
        </w:rPr>
        <w:t xml:space="preserve">Latvijas Universitātes </w:t>
      </w:r>
      <w:r w:rsidR="007F58B2">
        <w:rPr>
          <w:rFonts w:eastAsia="Calibri"/>
          <w:b/>
          <w:bCs/>
          <w:iCs/>
          <w:lang w:eastAsia="lv-LV"/>
        </w:rPr>
        <w:t>vizuālās identitātes pilnveide</w:t>
      </w:r>
      <w:r w:rsidRPr="00A94B8B">
        <w:rPr>
          <w:rFonts w:ascii="Times New Roman" w:hAnsi="Times New Roman"/>
          <w:b/>
        </w:rPr>
        <w:t>”</w:t>
      </w:r>
    </w:p>
    <w:p w:rsidR="003326E9" w:rsidRPr="000101B3" w:rsidRDefault="000101B3" w:rsidP="00A94B8B">
      <w:pPr>
        <w:pStyle w:val="BodyTextIndent"/>
        <w:spacing w:after="0"/>
        <w:ind w:left="0"/>
        <w:jc w:val="center"/>
        <w:rPr>
          <w:rFonts w:ascii="Times New Roman" w:hAnsi="Times New Roman"/>
        </w:rPr>
      </w:pPr>
      <w:r w:rsidRPr="000101B3">
        <w:rPr>
          <w:rFonts w:ascii="Times New Roman" w:hAnsi="Times New Roman"/>
          <w:b/>
        </w:rPr>
        <w:t xml:space="preserve"> </w:t>
      </w:r>
      <w:r w:rsidR="00540A54" w:rsidRPr="00365D1C">
        <w:rPr>
          <w:rFonts w:ascii="Times New Roman" w:hAnsi="Times New Roman"/>
          <w:b/>
        </w:rPr>
        <w:t>Iepirkuma identifikācijas Nr.</w:t>
      </w:r>
      <w:r w:rsidR="00391387" w:rsidRPr="00365D1C">
        <w:rPr>
          <w:rFonts w:ascii="Times New Roman" w:hAnsi="Times New Roman"/>
          <w:b/>
        </w:rPr>
        <w:t xml:space="preserve">: </w:t>
      </w:r>
      <w:r w:rsidR="00EF0772" w:rsidRPr="00365D1C">
        <w:rPr>
          <w:rFonts w:ascii="Times New Roman" w:hAnsi="Times New Roman"/>
          <w:b/>
        </w:rPr>
        <w:t xml:space="preserve">LU </w:t>
      </w:r>
      <w:r w:rsidR="00DC658E">
        <w:rPr>
          <w:rFonts w:ascii="Times New Roman" w:hAnsi="Times New Roman"/>
          <w:b/>
          <w:bCs/>
        </w:rPr>
        <w:t>2017</w:t>
      </w:r>
      <w:r w:rsidR="00935188" w:rsidRPr="00365D1C">
        <w:rPr>
          <w:rFonts w:ascii="Times New Roman" w:hAnsi="Times New Roman"/>
          <w:b/>
          <w:bCs/>
        </w:rPr>
        <w:t>/</w:t>
      </w:r>
      <w:r w:rsidR="00FA4933">
        <w:rPr>
          <w:rFonts w:ascii="Times New Roman" w:hAnsi="Times New Roman"/>
          <w:b/>
          <w:bCs/>
        </w:rPr>
        <w:t>5</w:t>
      </w:r>
      <w:r w:rsidR="007F58B2">
        <w:rPr>
          <w:rFonts w:ascii="Times New Roman" w:hAnsi="Times New Roman"/>
          <w:b/>
          <w:bCs/>
        </w:rPr>
        <w:t>4</w:t>
      </w:r>
      <w:r w:rsidR="00935188" w:rsidRPr="00365D1C">
        <w:rPr>
          <w:rFonts w:ascii="Times New Roman" w:hAnsi="Times New Roman"/>
          <w:b/>
          <w:bCs/>
        </w:rPr>
        <w:t>_I</w:t>
      </w:r>
    </w:p>
    <w:p w:rsidR="00EF0772" w:rsidRPr="00540A54" w:rsidRDefault="00EF0772" w:rsidP="00DC658E">
      <w:pPr>
        <w:jc w:val="center"/>
        <w:rPr>
          <w:rFonts w:ascii="Times New Roman" w:hAnsi="Times New Roman"/>
          <w:b/>
          <w:bCs/>
        </w:rPr>
      </w:pPr>
    </w:p>
    <w:p w:rsidR="00DB11ED" w:rsidRPr="002B597C" w:rsidRDefault="000B57B5" w:rsidP="00DC658E">
      <w:pPr>
        <w:jc w:val="both"/>
        <w:rPr>
          <w:rFonts w:ascii="Times New Roman" w:hAnsi="Times New Roman"/>
          <w:b/>
          <w:bCs/>
        </w:rPr>
      </w:pPr>
      <w:r w:rsidRPr="00A625DF">
        <w:rPr>
          <w:rFonts w:ascii="Times New Roman" w:hAnsi="Times New Roman"/>
          <w:b/>
          <w:bCs/>
        </w:rPr>
        <w:t>Rīgā</w:t>
      </w:r>
      <w:r w:rsidR="00B866B0" w:rsidRPr="00A625DF">
        <w:rPr>
          <w:rFonts w:ascii="Times New Roman" w:hAnsi="Times New Roman"/>
          <w:b/>
          <w:bCs/>
        </w:rPr>
        <w:t xml:space="preserve"> 201</w:t>
      </w:r>
      <w:r w:rsidR="00DC658E">
        <w:rPr>
          <w:rFonts w:ascii="Times New Roman" w:hAnsi="Times New Roman"/>
          <w:b/>
          <w:bCs/>
        </w:rPr>
        <w:t>7</w:t>
      </w:r>
      <w:r w:rsidRPr="00A625DF">
        <w:rPr>
          <w:rFonts w:ascii="Times New Roman" w:hAnsi="Times New Roman"/>
          <w:b/>
          <w:bCs/>
        </w:rPr>
        <w:t>.</w:t>
      </w:r>
      <w:r w:rsidR="00AE056A" w:rsidRPr="00B6580B">
        <w:rPr>
          <w:rFonts w:ascii="Times New Roman" w:hAnsi="Times New Roman"/>
          <w:b/>
          <w:bCs/>
        </w:rPr>
        <w:t xml:space="preserve">gada </w:t>
      </w:r>
      <w:r w:rsidR="007F58B2">
        <w:rPr>
          <w:rFonts w:ascii="Times New Roman" w:hAnsi="Times New Roman"/>
          <w:b/>
          <w:bCs/>
        </w:rPr>
        <w:t>7.septembrī</w:t>
      </w:r>
    </w:p>
    <w:p w:rsidR="003326E9" w:rsidRPr="00C75759" w:rsidRDefault="003326E9" w:rsidP="007F1D8D">
      <w:pPr>
        <w:jc w:val="both"/>
        <w:rPr>
          <w:rFonts w:ascii="Times New Roman" w:hAnsi="Times New Roman"/>
          <w:bCs/>
        </w:rPr>
      </w:pPr>
    </w:p>
    <w:p w:rsidR="006401D2" w:rsidRPr="000957CA" w:rsidRDefault="006401D2" w:rsidP="006401D2">
      <w:pPr>
        <w:numPr>
          <w:ilvl w:val="0"/>
          <w:numId w:val="3"/>
        </w:numPr>
        <w:ind w:left="357" w:hanging="357"/>
        <w:jc w:val="both"/>
        <w:rPr>
          <w:rFonts w:ascii="Times New Roman" w:hAnsi="Times New Roman"/>
        </w:rPr>
      </w:pPr>
      <w:r w:rsidRPr="000957CA">
        <w:rPr>
          <w:rFonts w:ascii="Times New Roman" w:hAnsi="Times New Roman"/>
          <w:b/>
        </w:rPr>
        <w:t xml:space="preserve">Pasūtītāja nosaukums un adrese </w:t>
      </w:r>
      <w:r w:rsidRPr="000957CA">
        <w:rPr>
          <w:rFonts w:ascii="Times New Roman" w:hAnsi="Times New Roman"/>
        </w:rPr>
        <w:t>– Latvijas Universitāte, Raiņa bulvāris 19, Rīga, LV - 1586, Latvija.</w:t>
      </w:r>
    </w:p>
    <w:p w:rsidR="00584934" w:rsidRPr="00E233BC" w:rsidRDefault="008F1BAE" w:rsidP="00EC0813">
      <w:pPr>
        <w:pStyle w:val="ListParagraph"/>
        <w:numPr>
          <w:ilvl w:val="0"/>
          <w:numId w:val="3"/>
        </w:numPr>
        <w:spacing w:line="276" w:lineRule="auto"/>
        <w:ind w:left="357" w:hanging="357"/>
        <w:jc w:val="both"/>
        <w:rPr>
          <w:rFonts w:ascii="Times New Roman" w:eastAsia="Times New Roman" w:hAnsi="Times New Roman"/>
          <w:bCs/>
          <w:lang w:eastAsia="lv-LV"/>
        </w:rPr>
      </w:pPr>
      <w:r w:rsidRPr="00334F94">
        <w:rPr>
          <w:rFonts w:ascii="Times New Roman" w:eastAsia="Times New Roman" w:hAnsi="Times New Roman"/>
          <w:b/>
          <w:bCs/>
          <w:lang w:eastAsia="lv-LV"/>
        </w:rPr>
        <w:t xml:space="preserve">Iepirkuma komisija: </w:t>
      </w:r>
      <w:r w:rsidRPr="00334F94">
        <w:rPr>
          <w:rFonts w:ascii="Times New Roman" w:hAnsi="Times New Roman"/>
        </w:rPr>
        <w:t>ar Latvijas Universitātes 201</w:t>
      </w:r>
      <w:r w:rsidR="002B597C" w:rsidRPr="00334F94">
        <w:rPr>
          <w:rFonts w:ascii="Times New Roman" w:hAnsi="Times New Roman"/>
        </w:rPr>
        <w:t>6</w:t>
      </w:r>
      <w:r w:rsidRPr="00334F94">
        <w:rPr>
          <w:rFonts w:ascii="Times New Roman" w:hAnsi="Times New Roman"/>
        </w:rPr>
        <w:t xml:space="preserve">. gada </w:t>
      </w:r>
      <w:r w:rsidR="002B597C" w:rsidRPr="00334F94">
        <w:rPr>
          <w:rFonts w:ascii="Times New Roman" w:hAnsi="Times New Roman"/>
        </w:rPr>
        <w:t>22</w:t>
      </w:r>
      <w:r w:rsidRPr="00334F94">
        <w:rPr>
          <w:rFonts w:ascii="Times New Roman" w:hAnsi="Times New Roman"/>
        </w:rPr>
        <w:t>. februāra rīkojumu Nr. 1/</w:t>
      </w:r>
      <w:r w:rsidR="002B597C" w:rsidRPr="00334F94">
        <w:rPr>
          <w:rFonts w:ascii="Times New Roman" w:hAnsi="Times New Roman"/>
        </w:rPr>
        <w:t>86</w:t>
      </w:r>
      <w:r w:rsidRPr="00334F94">
        <w:rPr>
          <w:rFonts w:ascii="Times New Roman" w:hAnsi="Times New Roman"/>
        </w:rPr>
        <w:t xml:space="preserve"> “Par L</w:t>
      </w:r>
      <w:r w:rsidR="009606E9" w:rsidRPr="00334F94">
        <w:rPr>
          <w:rFonts w:ascii="Times New Roman" w:hAnsi="Times New Roman"/>
        </w:rPr>
        <w:t xml:space="preserve">atvijas </w:t>
      </w:r>
      <w:r w:rsidRPr="00334F94">
        <w:rPr>
          <w:rFonts w:ascii="Times New Roman" w:hAnsi="Times New Roman"/>
        </w:rPr>
        <w:t>U</w:t>
      </w:r>
      <w:r w:rsidR="009606E9" w:rsidRPr="00334F94">
        <w:rPr>
          <w:rFonts w:ascii="Times New Roman" w:hAnsi="Times New Roman"/>
        </w:rPr>
        <w:t>niversitātes</w:t>
      </w:r>
      <w:r w:rsidRPr="00334F94">
        <w:rPr>
          <w:rFonts w:ascii="Times New Roman" w:hAnsi="Times New Roman"/>
        </w:rPr>
        <w:t xml:space="preserve"> iepirkumu komisiju sastāviem” izveidota Latvijas Universitātes </w:t>
      </w:r>
      <w:r w:rsidR="00FF0A88">
        <w:rPr>
          <w:rFonts w:ascii="Times New Roman" w:hAnsi="Times New Roman"/>
        </w:rPr>
        <w:t>Centralizēto</w:t>
      </w:r>
      <w:r w:rsidR="000F2CC0">
        <w:rPr>
          <w:rFonts w:ascii="Times New Roman" w:hAnsi="Times New Roman"/>
        </w:rPr>
        <w:t xml:space="preserve"> </w:t>
      </w:r>
      <w:r w:rsidRPr="00334F94">
        <w:rPr>
          <w:rFonts w:ascii="Times New Roman" w:hAnsi="Times New Roman"/>
        </w:rPr>
        <w:t>iepirkumu komisija</w:t>
      </w:r>
      <w:r w:rsidR="001737AC" w:rsidRPr="00334F94">
        <w:rPr>
          <w:rFonts w:ascii="Times New Roman" w:hAnsi="Times New Roman"/>
        </w:rPr>
        <w:t xml:space="preserve"> (turpmāk – </w:t>
      </w:r>
      <w:r w:rsidR="001737AC" w:rsidRPr="00334F94">
        <w:rPr>
          <w:rFonts w:ascii="Times New Roman" w:hAnsi="Times New Roman"/>
          <w:b/>
        </w:rPr>
        <w:t>Komisija</w:t>
      </w:r>
      <w:r w:rsidR="001737AC" w:rsidRPr="00334F94">
        <w:rPr>
          <w:rFonts w:ascii="Times New Roman" w:hAnsi="Times New Roman"/>
        </w:rPr>
        <w:t>)</w:t>
      </w:r>
      <w:r w:rsidRPr="00334F94">
        <w:rPr>
          <w:rFonts w:ascii="Times New Roman" w:hAnsi="Times New Roman"/>
        </w:rPr>
        <w:t>.</w:t>
      </w:r>
    </w:p>
    <w:p w:rsidR="00732CEA" w:rsidRDefault="003326E9" w:rsidP="00732CEA">
      <w:pPr>
        <w:pStyle w:val="ListParagraph"/>
        <w:numPr>
          <w:ilvl w:val="0"/>
          <w:numId w:val="3"/>
        </w:numPr>
        <w:spacing w:line="276" w:lineRule="auto"/>
        <w:ind w:left="357" w:hanging="357"/>
        <w:jc w:val="both"/>
        <w:rPr>
          <w:rFonts w:ascii="Times New Roman" w:eastAsia="Times New Roman" w:hAnsi="Times New Roman"/>
          <w:bCs/>
          <w:lang w:eastAsia="lv-LV"/>
        </w:rPr>
      </w:pPr>
      <w:r w:rsidRPr="00E233BC">
        <w:rPr>
          <w:rFonts w:ascii="Times New Roman" w:eastAsia="Times New Roman" w:hAnsi="Times New Roman"/>
          <w:b/>
          <w:bCs/>
          <w:lang w:eastAsia="lv-LV"/>
        </w:rPr>
        <w:t>Iepirkuma priekšmets:</w:t>
      </w:r>
      <w:r w:rsidR="007F58B2">
        <w:rPr>
          <w:rFonts w:ascii="Times New Roman" w:eastAsia="Times New Roman" w:hAnsi="Times New Roman"/>
          <w:b/>
          <w:bCs/>
          <w:lang w:eastAsia="lv-LV"/>
        </w:rPr>
        <w:t xml:space="preserve"> </w:t>
      </w:r>
      <w:r w:rsidR="007F58B2" w:rsidRPr="007F58B2">
        <w:rPr>
          <w:rFonts w:ascii="Times New Roman" w:hAnsi="Times New Roman"/>
          <w:szCs w:val="22"/>
        </w:rPr>
        <w:t>Latvijas Universitātes vizuālās identitātes pilnveide</w:t>
      </w:r>
      <w:r w:rsidR="007F58B2" w:rsidRPr="007F58B2">
        <w:rPr>
          <w:rFonts w:ascii="Times New Roman" w:hAnsi="Times New Roman"/>
        </w:rPr>
        <w:t>, atbilstoši Iepirkuma nolikumā (turpmāk- Nolikums) un tehniskajā specifikācijā (turpmāk – Tehniskā specifikācija) (skatīt Nolikuma 2.pielikumu) noteiktajām prasībām.</w:t>
      </w:r>
    </w:p>
    <w:p w:rsidR="00732CEA" w:rsidRPr="00732CEA" w:rsidRDefault="00E9659C" w:rsidP="00732CEA">
      <w:pPr>
        <w:pStyle w:val="ListParagraph"/>
        <w:numPr>
          <w:ilvl w:val="0"/>
          <w:numId w:val="3"/>
        </w:numPr>
        <w:spacing w:line="276" w:lineRule="auto"/>
        <w:ind w:left="357" w:hanging="357"/>
        <w:jc w:val="both"/>
        <w:rPr>
          <w:rFonts w:ascii="Times New Roman" w:eastAsia="Times New Roman" w:hAnsi="Times New Roman"/>
          <w:bCs/>
          <w:lang w:eastAsia="lv-LV"/>
        </w:rPr>
      </w:pPr>
      <w:r w:rsidRPr="00732CEA">
        <w:rPr>
          <w:rFonts w:ascii="Times New Roman" w:eastAsia="Times New Roman" w:hAnsi="Times New Roman"/>
          <w:b/>
          <w:bCs/>
          <w:lang w:eastAsia="lv-LV"/>
        </w:rPr>
        <w:t xml:space="preserve">CPV nomenklatūras kods: </w:t>
      </w:r>
      <w:r w:rsidR="007F58B2" w:rsidRPr="007F58B2">
        <w:rPr>
          <w:rFonts w:ascii="Times New Roman" w:hAnsi="Times New Roman"/>
        </w:rPr>
        <w:t>79822500-7 (Grafiskās projektēšanas pakalpojumi).</w:t>
      </w:r>
    </w:p>
    <w:p w:rsidR="00207651" w:rsidRPr="007F58B2" w:rsidRDefault="008F1BAE" w:rsidP="00EC0813">
      <w:pPr>
        <w:pStyle w:val="ListParagraph"/>
        <w:numPr>
          <w:ilvl w:val="0"/>
          <w:numId w:val="3"/>
        </w:numPr>
        <w:spacing w:line="276" w:lineRule="auto"/>
        <w:ind w:left="357" w:hanging="357"/>
        <w:jc w:val="both"/>
        <w:rPr>
          <w:rFonts w:ascii="Times New Roman" w:eastAsia="Times New Roman" w:hAnsi="Times New Roman"/>
          <w:bCs/>
          <w:lang w:eastAsia="lv-LV"/>
        </w:rPr>
      </w:pPr>
      <w:r w:rsidRPr="008F285B">
        <w:rPr>
          <w:rFonts w:ascii="Times New Roman" w:eastAsia="Times New Roman" w:hAnsi="Times New Roman"/>
          <w:b/>
          <w:bCs/>
          <w:lang w:eastAsia="lv-LV"/>
        </w:rPr>
        <w:t>Piedāvājuma izvēles kritērijs:</w:t>
      </w:r>
      <w:r w:rsidRPr="008F285B">
        <w:rPr>
          <w:rFonts w:ascii="Times New Roman" w:eastAsia="Times New Roman" w:hAnsi="Times New Roman"/>
          <w:bCs/>
          <w:lang w:eastAsia="lv-LV"/>
        </w:rPr>
        <w:t xml:space="preserve"> </w:t>
      </w:r>
      <w:r w:rsidR="000D43EF" w:rsidRPr="007F58B2">
        <w:rPr>
          <w:rFonts w:ascii="Times New Roman" w:hAnsi="Times New Roman"/>
        </w:rPr>
        <w:t xml:space="preserve">saimnieciski visizdevīgākais piedāvājums, kuru nosaka ņemot vērā </w:t>
      </w:r>
      <w:r w:rsidR="007F58B2" w:rsidRPr="007F58B2">
        <w:rPr>
          <w:rFonts w:ascii="Times New Roman" w:hAnsi="Times New Roman"/>
        </w:rPr>
        <w:t xml:space="preserve">šādas skaitliskās vērtības, izvērtējot 2 (divus) Pretendenta iesniegtos </w:t>
      </w:r>
      <w:proofErr w:type="spellStart"/>
      <w:r w:rsidR="007F58B2" w:rsidRPr="007F58B2">
        <w:rPr>
          <w:rFonts w:ascii="Times New Roman" w:hAnsi="Times New Roman"/>
        </w:rPr>
        <w:t>portfolio</w:t>
      </w:r>
      <w:proofErr w:type="spellEnd"/>
      <w:r w:rsidR="007F58B2" w:rsidRPr="007F58B2">
        <w:rPr>
          <w:rFonts w:ascii="Times New Roman" w:hAnsi="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3272"/>
        <w:gridCol w:w="978"/>
        <w:gridCol w:w="3859"/>
      </w:tblGrid>
      <w:tr w:rsidR="007F58B2" w:rsidRPr="00316EE0" w:rsidTr="009A7901">
        <w:trPr>
          <w:jc w:val="center"/>
        </w:trPr>
        <w:tc>
          <w:tcPr>
            <w:tcW w:w="959" w:type="dxa"/>
          </w:tcPr>
          <w:p w:rsidR="007F58B2" w:rsidRPr="007F58B2" w:rsidRDefault="007F58B2" w:rsidP="009A7901">
            <w:pPr>
              <w:jc w:val="center"/>
              <w:rPr>
                <w:rFonts w:ascii="Times New Roman" w:hAnsi="Times New Roman"/>
                <w:b/>
                <w:i/>
                <w:sz w:val="20"/>
                <w:szCs w:val="20"/>
              </w:rPr>
            </w:pPr>
            <w:proofErr w:type="spellStart"/>
            <w:r w:rsidRPr="007F58B2">
              <w:rPr>
                <w:rFonts w:ascii="Times New Roman" w:hAnsi="Times New Roman"/>
                <w:b/>
                <w:i/>
                <w:sz w:val="20"/>
                <w:szCs w:val="20"/>
              </w:rPr>
              <w:t>Nr.p.k</w:t>
            </w:r>
            <w:proofErr w:type="spellEnd"/>
            <w:r w:rsidRPr="007F58B2">
              <w:rPr>
                <w:rFonts w:ascii="Times New Roman" w:hAnsi="Times New Roman"/>
                <w:b/>
                <w:i/>
                <w:sz w:val="20"/>
                <w:szCs w:val="20"/>
              </w:rPr>
              <w:t>.</w:t>
            </w:r>
          </w:p>
        </w:tc>
        <w:tc>
          <w:tcPr>
            <w:tcW w:w="3333" w:type="dxa"/>
            <w:shd w:val="clear" w:color="auto" w:fill="auto"/>
            <w:vAlign w:val="center"/>
          </w:tcPr>
          <w:p w:rsidR="007F58B2" w:rsidRPr="007F58B2" w:rsidRDefault="007F58B2" w:rsidP="009A7901">
            <w:pPr>
              <w:jc w:val="center"/>
              <w:rPr>
                <w:rFonts w:ascii="Times New Roman" w:hAnsi="Times New Roman"/>
                <w:b/>
                <w:i/>
                <w:sz w:val="20"/>
                <w:szCs w:val="20"/>
              </w:rPr>
            </w:pPr>
            <w:r w:rsidRPr="007F58B2">
              <w:rPr>
                <w:rFonts w:ascii="Times New Roman" w:hAnsi="Times New Roman"/>
                <w:b/>
                <w:i/>
                <w:sz w:val="20"/>
                <w:szCs w:val="20"/>
              </w:rPr>
              <w:t>Vērtējamais kritērijs</w:t>
            </w:r>
          </w:p>
        </w:tc>
        <w:tc>
          <w:tcPr>
            <w:tcW w:w="985" w:type="dxa"/>
            <w:shd w:val="clear" w:color="auto" w:fill="auto"/>
            <w:vAlign w:val="center"/>
          </w:tcPr>
          <w:p w:rsidR="007F58B2" w:rsidRPr="007F58B2" w:rsidRDefault="007F58B2" w:rsidP="009A7901">
            <w:pPr>
              <w:jc w:val="center"/>
              <w:rPr>
                <w:rFonts w:ascii="Times New Roman" w:hAnsi="Times New Roman"/>
                <w:b/>
                <w:i/>
                <w:sz w:val="20"/>
                <w:szCs w:val="20"/>
              </w:rPr>
            </w:pPr>
            <w:r w:rsidRPr="007F58B2">
              <w:rPr>
                <w:rFonts w:ascii="Times New Roman" w:hAnsi="Times New Roman"/>
                <w:b/>
                <w:i/>
                <w:sz w:val="20"/>
                <w:szCs w:val="20"/>
              </w:rPr>
              <w:t>Maksi-</w:t>
            </w:r>
            <w:proofErr w:type="spellStart"/>
            <w:r w:rsidRPr="007F58B2">
              <w:rPr>
                <w:rFonts w:ascii="Times New Roman" w:hAnsi="Times New Roman"/>
                <w:b/>
                <w:i/>
                <w:sz w:val="20"/>
                <w:szCs w:val="20"/>
              </w:rPr>
              <w:t>mālais</w:t>
            </w:r>
            <w:proofErr w:type="spellEnd"/>
            <w:r w:rsidRPr="007F58B2">
              <w:rPr>
                <w:rFonts w:ascii="Times New Roman" w:hAnsi="Times New Roman"/>
                <w:b/>
                <w:i/>
                <w:sz w:val="20"/>
                <w:szCs w:val="20"/>
              </w:rPr>
              <w:t xml:space="preserve"> punktu skaits</w:t>
            </w:r>
          </w:p>
        </w:tc>
        <w:tc>
          <w:tcPr>
            <w:tcW w:w="3936" w:type="dxa"/>
            <w:shd w:val="clear" w:color="auto" w:fill="auto"/>
            <w:vAlign w:val="center"/>
          </w:tcPr>
          <w:p w:rsidR="007F58B2" w:rsidRPr="007F58B2" w:rsidRDefault="007F58B2" w:rsidP="009A7901">
            <w:pPr>
              <w:jc w:val="center"/>
              <w:rPr>
                <w:rFonts w:ascii="Times New Roman" w:hAnsi="Times New Roman"/>
                <w:b/>
                <w:i/>
                <w:sz w:val="20"/>
                <w:szCs w:val="20"/>
              </w:rPr>
            </w:pPr>
            <w:r w:rsidRPr="007F58B2">
              <w:rPr>
                <w:rFonts w:ascii="Times New Roman" w:hAnsi="Times New Roman"/>
                <w:b/>
                <w:i/>
                <w:sz w:val="20"/>
                <w:szCs w:val="20"/>
              </w:rPr>
              <w:t>Vērtēšanas metodika</w:t>
            </w:r>
          </w:p>
        </w:tc>
      </w:tr>
      <w:tr w:rsidR="007F58B2" w:rsidRPr="00316EE0" w:rsidTr="009A7901">
        <w:trPr>
          <w:jc w:val="center"/>
        </w:trPr>
        <w:tc>
          <w:tcPr>
            <w:tcW w:w="959" w:type="dxa"/>
          </w:tcPr>
          <w:p w:rsidR="007F58B2" w:rsidRPr="007F58B2" w:rsidRDefault="007F58B2" w:rsidP="009A7901">
            <w:pPr>
              <w:pStyle w:val="ListParagraph"/>
              <w:ind w:left="0"/>
              <w:jc w:val="center"/>
              <w:rPr>
                <w:rFonts w:ascii="Times New Roman" w:hAnsi="Times New Roman"/>
                <w:sz w:val="20"/>
                <w:szCs w:val="20"/>
              </w:rPr>
            </w:pPr>
            <w:r w:rsidRPr="007F58B2">
              <w:rPr>
                <w:rFonts w:ascii="Times New Roman" w:hAnsi="Times New Roman"/>
                <w:sz w:val="20"/>
                <w:szCs w:val="20"/>
              </w:rPr>
              <w:t>1.</w:t>
            </w:r>
          </w:p>
        </w:tc>
        <w:tc>
          <w:tcPr>
            <w:tcW w:w="3333" w:type="dxa"/>
            <w:shd w:val="clear" w:color="auto" w:fill="auto"/>
            <w:vAlign w:val="center"/>
          </w:tcPr>
          <w:p w:rsidR="007F58B2" w:rsidRPr="007F58B2" w:rsidRDefault="007F58B2" w:rsidP="009A7901">
            <w:pPr>
              <w:pStyle w:val="ListParagraph"/>
              <w:ind w:left="0"/>
              <w:rPr>
                <w:rFonts w:ascii="Times New Roman" w:hAnsi="Times New Roman"/>
                <w:color w:val="000000"/>
                <w:sz w:val="20"/>
                <w:szCs w:val="20"/>
              </w:rPr>
            </w:pPr>
            <w:r w:rsidRPr="007F58B2">
              <w:rPr>
                <w:rFonts w:ascii="Times New Roman" w:hAnsi="Times New Roman"/>
                <w:b/>
                <w:sz w:val="20"/>
                <w:szCs w:val="20"/>
              </w:rPr>
              <w:t>Grafiskais standarts</w:t>
            </w:r>
            <w:r w:rsidRPr="007F58B2">
              <w:rPr>
                <w:rFonts w:ascii="Times New Roman" w:hAnsi="Times New Roman"/>
                <w:sz w:val="20"/>
                <w:szCs w:val="20"/>
              </w:rPr>
              <w:t xml:space="preserve"> ietver vismaz grafisko zīmi (logo), burtu garnitūru (fontus) un to pielietojumu veidlapas, vizītkartes, dokumentu mapes, aploksnes un elektroniskās prezentācijas veidnes dizainā. *</w:t>
            </w:r>
          </w:p>
          <w:p w:rsidR="007F58B2" w:rsidRPr="007F58B2" w:rsidRDefault="007F58B2" w:rsidP="009A7901">
            <w:pPr>
              <w:jc w:val="center"/>
              <w:rPr>
                <w:rFonts w:ascii="Times New Roman" w:hAnsi="Times New Roman"/>
                <w:sz w:val="20"/>
                <w:szCs w:val="20"/>
              </w:rPr>
            </w:pPr>
            <w:r w:rsidRPr="007F58B2">
              <w:rPr>
                <w:rFonts w:ascii="Times New Roman" w:hAnsi="Times New Roman"/>
                <w:color w:val="000000"/>
                <w:sz w:val="20"/>
                <w:szCs w:val="20"/>
              </w:rPr>
              <w:t>(</w:t>
            </w:r>
            <w:r w:rsidRPr="007F58B2">
              <w:rPr>
                <w:rFonts w:ascii="Times New Roman" w:hAnsi="Times New Roman"/>
                <w:i/>
                <w:color w:val="000000"/>
                <w:sz w:val="20"/>
                <w:szCs w:val="20"/>
              </w:rPr>
              <w:t>X</w:t>
            </w:r>
            <w:r w:rsidRPr="007F58B2">
              <w:rPr>
                <w:rFonts w:ascii="Times New Roman" w:hAnsi="Times New Roman"/>
                <w:color w:val="000000"/>
                <w:sz w:val="20"/>
                <w:szCs w:val="20"/>
              </w:rPr>
              <w:t>)</w:t>
            </w:r>
          </w:p>
        </w:tc>
        <w:tc>
          <w:tcPr>
            <w:tcW w:w="985" w:type="dxa"/>
            <w:shd w:val="clear" w:color="auto" w:fill="auto"/>
            <w:vAlign w:val="center"/>
          </w:tcPr>
          <w:p w:rsidR="007F58B2" w:rsidRPr="007F58B2" w:rsidRDefault="007F58B2" w:rsidP="009A7901">
            <w:pPr>
              <w:jc w:val="center"/>
              <w:rPr>
                <w:rFonts w:ascii="Times New Roman" w:hAnsi="Times New Roman"/>
                <w:sz w:val="20"/>
                <w:szCs w:val="20"/>
              </w:rPr>
            </w:pPr>
            <w:r w:rsidRPr="007F58B2">
              <w:rPr>
                <w:rFonts w:ascii="Times New Roman" w:hAnsi="Times New Roman"/>
                <w:sz w:val="20"/>
                <w:szCs w:val="20"/>
              </w:rPr>
              <w:t>20</w:t>
            </w:r>
          </w:p>
        </w:tc>
        <w:tc>
          <w:tcPr>
            <w:tcW w:w="3936" w:type="dxa"/>
            <w:shd w:val="clear" w:color="auto" w:fill="auto"/>
          </w:tcPr>
          <w:p w:rsidR="007F58B2" w:rsidRPr="007F58B2" w:rsidRDefault="007F58B2" w:rsidP="009A7901">
            <w:pPr>
              <w:rPr>
                <w:rFonts w:ascii="Times New Roman" w:hAnsi="Times New Roman"/>
                <w:sz w:val="20"/>
                <w:szCs w:val="20"/>
              </w:rPr>
            </w:pPr>
            <w:r w:rsidRPr="007F58B2">
              <w:rPr>
                <w:rFonts w:ascii="Times New Roman" w:hAnsi="Times New Roman"/>
                <w:sz w:val="20"/>
                <w:szCs w:val="20"/>
              </w:rPr>
              <w:t xml:space="preserve">Lielums no 0-20 par nolikuma vērtējamo kritēriju (un kur 20 – augstākais vērtējums). </w:t>
            </w:r>
          </w:p>
          <w:p w:rsidR="007F58B2" w:rsidRPr="007F58B2" w:rsidRDefault="007F58B2" w:rsidP="009A7901">
            <w:pPr>
              <w:rPr>
                <w:rFonts w:ascii="Times New Roman" w:hAnsi="Times New Roman"/>
                <w:sz w:val="20"/>
                <w:szCs w:val="20"/>
              </w:rPr>
            </w:pPr>
          </w:p>
          <w:p w:rsidR="007F58B2" w:rsidRPr="007F58B2" w:rsidRDefault="007F58B2" w:rsidP="009A7901">
            <w:pPr>
              <w:rPr>
                <w:rFonts w:ascii="Times New Roman" w:hAnsi="Times New Roman"/>
                <w:sz w:val="20"/>
                <w:szCs w:val="20"/>
              </w:rPr>
            </w:pPr>
            <w:r w:rsidRPr="007F58B2">
              <w:rPr>
                <w:rFonts w:ascii="Times New Roman" w:hAnsi="Times New Roman"/>
                <w:sz w:val="20"/>
                <w:szCs w:val="20"/>
              </w:rPr>
              <w:t>Ja pretendenta iesniegtais grafiskais standarts:</w:t>
            </w:r>
          </w:p>
          <w:p w:rsidR="007F58B2" w:rsidRPr="007F58B2" w:rsidRDefault="007F58B2" w:rsidP="009A7901">
            <w:pPr>
              <w:rPr>
                <w:rFonts w:ascii="Times New Roman" w:hAnsi="Times New Roman"/>
                <w:sz w:val="20"/>
                <w:szCs w:val="20"/>
              </w:rPr>
            </w:pPr>
          </w:p>
          <w:p w:rsidR="007F58B2" w:rsidRPr="007F58B2" w:rsidRDefault="007F58B2" w:rsidP="007F58B2">
            <w:pPr>
              <w:pStyle w:val="ListParagraph"/>
              <w:numPr>
                <w:ilvl w:val="0"/>
                <w:numId w:val="16"/>
              </w:numPr>
              <w:rPr>
                <w:rFonts w:ascii="Times New Roman" w:hAnsi="Times New Roman"/>
                <w:sz w:val="20"/>
                <w:szCs w:val="20"/>
              </w:rPr>
            </w:pPr>
            <w:r w:rsidRPr="007F58B2">
              <w:rPr>
                <w:rFonts w:ascii="Times New Roman" w:hAnsi="Times New Roman"/>
                <w:sz w:val="20"/>
                <w:szCs w:val="20"/>
              </w:rPr>
              <w:t>neatbilst vērtējamajam kritērijam, komisija piešķir 0 punktus;</w:t>
            </w:r>
          </w:p>
          <w:p w:rsidR="007F58B2" w:rsidRPr="007F58B2" w:rsidRDefault="007F58B2" w:rsidP="007F58B2">
            <w:pPr>
              <w:pStyle w:val="ListParagraph"/>
              <w:numPr>
                <w:ilvl w:val="0"/>
                <w:numId w:val="16"/>
              </w:numPr>
              <w:rPr>
                <w:rFonts w:ascii="Times New Roman" w:hAnsi="Times New Roman"/>
                <w:sz w:val="20"/>
                <w:szCs w:val="20"/>
              </w:rPr>
            </w:pPr>
            <w:r w:rsidRPr="007F58B2">
              <w:rPr>
                <w:rFonts w:ascii="Times New Roman" w:hAnsi="Times New Roman"/>
                <w:sz w:val="20"/>
                <w:szCs w:val="20"/>
              </w:rPr>
              <w:t>pilnībā atbilst vērtējamajam kritērijam, komisija piešķir 15 punktus;</w:t>
            </w:r>
          </w:p>
          <w:p w:rsidR="007F58B2" w:rsidRPr="007F58B2" w:rsidRDefault="007F58B2" w:rsidP="007F58B2">
            <w:pPr>
              <w:pStyle w:val="ListParagraph"/>
              <w:numPr>
                <w:ilvl w:val="0"/>
                <w:numId w:val="16"/>
              </w:numPr>
              <w:rPr>
                <w:rFonts w:ascii="Times New Roman" w:hAnsi="Times New Roman"/>
                <w:sz w:val="20"/>
                <w:szCs w:val="20"/>
              </w:rPr>
            </w:pPr>
            <w:r w:rsidRPr="007F58B2">
              <w:rPr>
                <w:rFonts w:ascii="Times New Roman" w:hAnsi="Times New Roman"/>
                <w:sz w:val="20"/>
                <w:szCs w:val="20"/>
              </w:rPr>
              <w:t>par katru papildus pievienotu paraugu grafiskajā standartā, kas nav minēts 1.punktā, Komisija Pretendentam piešķir papildus 1 punktu, bet ne vairāk kā 5.</w:t>
            </w:r>
          </w:p>
        </w:tc>
      </w:tr>
      <w:tr w:rsidR="007F58B2" w:rsidRPr="00316EE0" w:rsidTr="009A7901">
        <w:trPr>
          <w:jc w:val="center"/>
        </w:trPr>
        <w:tc>
          <w:tcPr>
            <w:tcW w:w="959" w:type="dxa"/>
          </w:tcPr>
          <w:p w:rsidR="007F58B2" w:rsidRPr="007F58B2" w:rsidRDefault="007F58B2" w:rsidP="009A7901">
            <w:pPr>
              <w:jc w:val="center"/>
              <w:rPr>
                <w:rFonts w:ascii="Times New Roman" w:hAnsi="Times New Roman"/>
                <w:sz w:val="20"/>
                <w:szCs w:val="20"/>
              </w:rPr>
            </w:pPr>
            <w:r w:rsidRPr="007F58B2">
              <w:rPr>
                <w:rFonts w:ascii="Times New Roman" w:hAnsi="Times New Roman"/>
                <w:sz w:val="20"/>
                <w:szCs w:val="20"/>
              </w:rPr>
              <w:t>2.</w:t>
            </w:r>
          </w:p>
        </w:tc>
        <w:tc>
          <w:tcPr>
            <w:tcW w:w="3333" w:type="dxa"/>
            <w:shd w:val="clear" w:color="auto" w:fill="auto"/>
            <w:vAlign w:val="center"/>
          </w:tcPr>
          <w:p w:rsidR="007F58B2" w:rsidRPr="007F58B2" w:rsidRDefault="007F58B2" w:rsidP="009A7901">
            <w:pPr>
              <w:rPr>
                <w:rFonts w:ascii="Times New Roman" w:hAnsi="Times New Roman"/>
                <w:color w:val="000000"/>
                <w:sz w:val="20"/>
                <w:szCs w:val="20"/>
              </w:rPr>
            </w:pPr>
            <w:r w:rsidRPr="007F58B2">
              <w:rPr>
                <w:rFonts w:ascii="Times New Roman" w:hAnsi="Times New Roman"/>
                <w:b/>
                <w:sz w:val="20"/>
                <w:szCs w:val="20"/>
              </w:rPr>
              <w:t>Grafiskajam standartam ir mūsdienīga un skaidri uztverama koncepcija</w:t>
            </w:r>
            <w:r w:rsidRPr="007F58B2">
              <w:rPr>
                <w:rFonts w:ascii="Times New Roman" w:hAnsi="Times New Roman"/>
                <w:sz w:val="20"/>
                <w:szCs w:val="20"/>
              </w:rPr>
              <w:t xml:space="preserve"> (par mūsdienīgu koncepciju liecina izvēlētās krāsas, to tonalitātes (saturētas) – košas (bez toņu gradācijas), Sans Serif burtveidolu lietojums, kas var tikt papildināts ar </w:t>
            </w:r>
            <w:proofErr w:type="spellStart"/>
            <w:r w:rsidRPr="007F58B2">
              <w:rPr>
                <w:rFonts w:ascii="Times New Roman" w:hAnsi="Times New Roman"/>
                <w:sz w:val="20"/>
                <w:szCs w:val="20"/>
              </w:rPr>
              <w:t>komplementējošiem</w:t>
            </w:r>
            <w:proofErr w:type="spellEnd"/>
            <w:r w:rsidRPr="007F58B2">
              <w:rPr>
                <w:rFonts w:ascii="Times New Roman" w:hAnsi="Times New Roman"/>
                <w:sz w:val="20"/>
                <w:szCs w:val="20"/>
              </w:rPr>
              <w:t xml:space="preserve"> Serif tipa burtveidoliem. Kopējā vizuālā tīrība (nav lieku dekoratīvu elementu), kas palielina informācijas uztveramību, kas rada pārliecību par saskaņotu un vienotu organizācijas tēlu (pārliecību par vienotu un saskaņotu organizācijas tēlu rada dizaina koncepcijā esošo elementu izmantošana un pielāgošana dažādu organizācijas vizuālo materiālu starpā.)</w:t>
            </w:r>
            <w:r w:rsidRPr="007F58B2">
              <w:rPr>
                <w:rFonts w:ascii="Times New Roman" w:hAnsi="Times New Roman"/>
                <w:color w:val="000000"/>
                <w:sz w:val="20"/>
                <w:szCs w:val="20"/>
              </w:rPr>
              <w:t xml:space="preserve"> *</w:t>
            </w:r>
          </w:p>
          <w:p w:rsidR="007F58B2" w:rsidRPr="007F58B2" w:rsidRDefault="007F58B2" w:rsidP="009A7901">
            <w:pPr>
              <w:jc w:val="center"/>
              <w:rPr>
                <w:rFonts w:ascii="Times New Roman" w:hAnsi="Times New Roman"/>
                <w:color w:val="000000"/>
                <w:sz w:val="20"/>
                <w:szCs w:val="20"/>
                <w:highlight w:val="yellow"/>
              </w:rPr>
            </w:pPr>
            <w:r w:rsidRPr="007F58B2">
              <w:rPr>
                <w:rFonts w:ascii="Times New Roman" w:hAnsi="Times New Roman"/>
                <w:color w:val="000000"/>
                <w:sz w:val="20"/>
                <w:szCs w:val="20"/>
              </w:rPr>
              <w:lastRenderedPageBreak/>
              <w:t xml:space="preserve"> (</w:t>
            </w:r>
            <w:r w:rsidRPr="007F58B2">
              <w:rPr>
                <w:rFonts w:ascii="Times New Roman" w:hAnsi="Times New Roman"/>
                <w:i/>
                <w:color w:val="000000"/>
                <w:sz w:val="20"/>
                <w:szCs w:val="20"/>
              </w:rPr>
              <w:t>Y</w:t>
            </w:r>
            <w:r w:rsidRPr="007F58B2">
              <w:rPr>
                <w:rFonts w:ascii="Times New Roman" w:hAnsi="Times New Roman"/>
                <w:color w:val="000000"/>
                <w:sz w:val="20"/>
                <w:szCs w:val="20"/>
              </w:rPr>
              <w:t>)</w:t>
            </w:r>
          </w:p>
        </w:tc>
        <w:tc>
          <w:tcPr>
            <w:tcW w:w="985" w:type="dxa"/>
            <w:shd w:val="clear" w:color="auto" w:fill="auto"/>
            <w:vAlign w:val="center"/>
          </w:tcPr>
          <w:p w:rsidR="007F58B2" w:rsidRPr="007F58B2" w:rsidRDefault="007F58B2" w:rsidP="009A7901">
            <w:pPr>
              <w:jc w:val="center"/>
              <w:rPr>
                <w:rFonts w:ascii="Times New Roman" w:hAnsi="Times New Roman"/>
                <w:sz w:val="20"/>
                <w:szCs w:val="20"/>
              </w:rPr>
            </w:pPr>
            <w:r w:rsidRPr="007F58B2">
              <w:rPr>
                <w:rFonts w:ascii="Times New Roman" w:hAnsi="Times New Roman"/>
                <w:sz w:val="20"/>
                <w:szCs w:val="20"/>
              </w:rPr>
              <w:lastRenderedPageBreak/>
              <w:t>20</w:t>
            </w:r>
          </w:p>
        </w:tc>
        <w:tc>
          <w:tcPr>
            <w:tcW w:w="3936" w:type="dxa"/>
            <w:shd w:val="clear" w:color="auto" w:fill="auto"/>
          </w:tcPr>
          <w:p w:rsidR="007F58B2" w:rsidRPr="007F58B2" w:rsidRDefault="007F58B2" w:rsidP="009A7901">
            <w:pPr>
              <w:rPr>
                <w:rFonts w:ascii="Times New Roman" w:hAnsi="Times New Roman"/>
                <w:sz w:val="20"/>
                <w:szCs w:val="20"/>
              </w:rPr>
            </w:pPr>
            <w:r w:rsidRPr="007F58B2">
              <w:rPr>
                <w:rFonts w:ascii="Times New Roman" w:hAnsi="Times New Roman"/>
                <w:sz w:val="20"/>
                <w:szCs w:val="20"/>
              </w:rPr>
              <w:t>Lielums no 0-20 par nolikuma vērtējamo kritēriju (un kur 20 – augstākais vērtējums).</w:t>
            </w:r>
          </w:p>
          <w:p w:rsidR="007F58B2" w:rsidRPr="007F58B2" w:rsidRDefault="007F58B2" w:rsidP="009A7901">
            <w:pPr>
              <w:rPr>
                <w:rFonts w:ascii="Times New Roman" w:hAnsi="Times New Roman"/>
                <w:sz w:val="20"/>
                <w:szCs w:val="20"/>
              </w:rPr>
            </w:pPr>
          </w:p>
          <w:p w:rsidR="007F58B2" w:rsidRPr="007F58B2" w:rsidRDefault="007F58B2" w:rsidP="009A7901">
            <w:pPr>
              <w:rPr>
                <w:rFonts w:ascii="Times New Roman" w:hAnsi="Times New Roman"/>
                <w:sz w:val="20"/>
                <w:szCs w:val="20"/>
              </w:rPr>
            </w:pPr>
            <w:r w:rsidRPr="007F58B2">
              <w:rPr>
                <w:rFonts w:ascii="Times New Roman" w:hAnsi="Times New Roman"/>
                <w:sz w:val="20"/>
                <w:szCs w:val="20"/>
              </w:rPr>
              <w:t>Ja pretendenta iesniegtais grafiskais standarts:</w:t>
            </w:r>
          </w:p>
          <w:p w:rsidR="007F58B2" w:rsidRPr="007F58B2" w:rsidRDefault="007F58B2" w:rsidP="009A7901">
            <w:pPr>
              <w:rPr>
                <w:rFonts w:ascii="Times New Roman" w:hAnsi="Times New Roman"/>
                <w:sz w:val="20"/>
                <w:szCs w:val="20"/>
              </w:rPr>
            </w:pPr>
          </w:p>
          <w:p w:rsidR="007F58B2" w:rsidRPr="007F58B2" w:rsidRDefault="007F58B2" w:rsidP="007F58B2">
            <w:pPr>
              <w:pStyle w:val="ListParagraph"/>
              <w:numPr>
                <w:ilvl w:val="0"/>
                <w:numId w:val="17"/>
              </w:numPr>
              <w:rPr>
                <w:rFonts w:ascii="Times New Roman" w:hAnsi="Times New Roman"/>
                <w:sz w:val="20"/>
                <w:szCs w:val="20"/>
              </w:rPr>
            </w:pPr>
            <w:r w:rsidRPr="007F58B2">
              <w:rPr>
                <w:rFonts w:ascii="Times New Roman" w:hAnsi="Times New Roman"/>
                <w:sz w:val="20"/>
                <w:szCs w:val="20"/>
              </w:rPr>
              <w:t>neatbilst vērtējamajam kritērijam, komisija piešķir 0 punktus;</w:t>
            </w:r>
          </w:p>
          <w:p w:rsidR="007F58B2" w:rsidRPr="007F58B2" w:rsidRDefault="007F58B2" w:rsidP="007F58B2">
            <w:pPr>
              <w:pStyle w:val="ListParagraph"/>
              <w:numPr>
                <w:ilvl w:val="0"/>
                <w:numId w:val="17"/>
              </w:numPr>
              <w:rPr>
                <w:rFonts w:ascii="Times New Roman" w:hAnsi="Times New Roman"/>
                <w:sz w:val="20"/>
                <w:szCs w:val="20"/>
              </w:rPr>
            </w:pPr>
            <w:r w:rsidRPr="007F58B2">
              <w:rPr>
                <w:rFonts w:ascii="Times New Roman" w:hAnsi="Times New Roman"/>
                <w:sz w:val="20"/>
                <w:szCs w:val="20"/>
              </w:rPr>
              <w:t>daļēji atbilst vērtējamajam kritērijam, komisija piešķir 10 punktus;</w:t>
            </w:r>
          </w:p>
          <w:p w:rsidR="007F58B2" w:rsidRPr="007F58B2" w:rsidRDefault="007F58B2" w:rsidP="007F58B2">
            <w:pPr>
              <w:pStyle w:val="ListParagraph"/>
              <w:numPr>
                <w:ilvl w:val="0"/>
                <w:numId w:val="17"/>
              </w:numPr>
              <w:rPr>
                <w:rFonts w:ascii="Times New Roman" w:hAnsi="Times New Roman"/>
                <w:sz w:val="20"/>
                <w:szCs w:val="20"/>
              </w:rPr>
            </w:pPr>
            <w:r w:rsidRPr="007F58B2">
              <w:rPr>
                <w:rFonts w:ascii="Times New Roman" w:hAnsi="Times New Roman"/>
                <w:sz w:val="20"/>
                <w:szCs w:val="20"/>
              </w:rPr>
              <w:t>pilnībā atbilst vērtējamajam kritērijam, komisija piešķir 20 punktus.</w:t>
            </w:r>
          </w:p>
        </w:tc>
      </w:tr>
      <w:tr w:rsidR="007F58B2" w:rsidRPr="00316EE0" w:rsidTr="009A7901">
        <w:trPr>
          <w:jc w:val="center"/>
        </w:trPr>
        <w:tc>
          <w:tcPr>
            <w:tcW w:w="959" w:type="dxa"/>
          </w:tcPr>
          <w:p w:rsidR="007F58B2" w:rsidRPr="007F58B2" w:rsidRDefault="007F58B2" w:rsidP="009A7901">
            <w:pPr>
              <w:pStyle w:val="ListParagraph"/>
              <w:ind w:left="0"/>
              <w:jc w:val="center"/>
              <w:rPr>
                <w:rFonts w:ascii="Times New Roman" w:hAnsi="Times New Roman"/>
                <w:sz w:val="20"/>
                <w:szCs w:val="20"/>
              </w:rPr>
            </w:pPr>
            <w:r w:rsidRPr="007F58B2">
              <w:rPr>
                <w:rFonts w:ascii="Times New Roman" w:hAnsi="Times New Roman"/>
                <w:sz w:val="20"/>
                <w:szCs w:val="20"/>
              </w:rPr>
              <w:t>3.</w:t>
            </w:r>
          </w:p>
        </w:tc>
        <w:tc>
          <w:tcPr>
            <w:tcW w:w="3333" w:type="dxa"/>
            <w:shd w:val="clear" w:color="auto" w:fill="auto"/>
            <w:vAlign w:val="center"/>
          </w:tcPr>
          <w:p w:rsidR="007F58B2" w:rsidRPr="007F58B2" w:rsidRDefault="007F58B2" w:rsidP="009A7901">
            <w:pPr>
              <w:pStyle w:val="ListParagraph"/>
              <w:ind w:left="0"/>
              <w:rPr>
                <w:rFonts w:ascii="Times New Roman" w:hAnsi="Times New Roman"/>
                <w:i/>
                <w:sz w:val="20"/>
                <w:szCs w:val="20"/>
              </w:rPr>
            </w:pPr>
            <w:r w:rsidRPr="007F58B2">
              <w:rPr>
                <w:rFonts w:ascii="Times New Roman" w:hAnsi="Times New Roman"/>
                <w:b/>
                <w:sz w:val="20"/>
                <w:szCs w:val="20"/>
              </w:rPr>
              <w:t>Mākslinieciskā izpildījuma kvalitāte</w:t>
            </w:r>
            <w:r w:rsidRPr="007F58B2">
              <w:rPr>
                <w:rFonts w:ascii="Times New Roman" w:hAnsi="Times New Roman"/>
                <w:sz w:val="20"/>
                <w:szCs w:val="20"/>
              </w:rPr>
              <w:t xml:space="preserve"> (ko raksturo informācijas un dizaina elementu savstarpējs balanss un loģiska izvietojuma kārtība, kas informācijas uztvērēju virza no vienas informācijas vienības uz nākamo. Informācijas vienotība – savstarpēji saistīta informācija atrodas tiešā tuvumā, kas savstarpēji cita citu paskaidro / izskaidro. Informācijas (tekstuālas) izlīdzinājums pret dizaina elementiem – tā konsistence viscaur organizācijas vizuālajiem materiāliem, ietekmē vēstījuma uztveramību un salasāmību. Dizaina elementu kontrasts, to apkļaušana ar brīvo laukumu, nesaspiežot informācijas vienības vienuviet un nodrošinot to savstarpējo kontrastu, uzlabo vēstījuma uztveri un virza informācijas uztvērēju no vienas vēstījuma daļas pie nākamās).</w:t>
            </w:r>
            <w:r w:rsidRPr="007F58B2">
              <w:rPr>
                <w:rFonts w:ascii="Times New Roman" w:hAnsi="Times New Roman"/>
                <w:i/>
                <w:sz w:val="20"/>
                <w:szCs w:val="20"/>
              </w:rPr>
              <w:t>* (Z)</w:t>
            </w:r>
          </w:p>
          <w:p w:rsidR="007F58B2" w:rsidRPr="007F58B2" w:rsidRDefault="007F58B2" w:rsidP="009A7901">
            <w:pPr>
              <w:jc w:val="center"/>
              <w:rPr>
                <w:rFonts w:ascii="Times New Roman" w:hAnsi="Times New Roman"/>
                <w:sz w:val="20"/>
                <w:szCs w:val="20"/>
                <w:highlight w:val="yellow"/>
              </w:rPr>
            </w:pPr>
          </w:p>
        </w:tc>
        <w:tc>
          <w:tcPr>
            <w:tcW w:w="985" w:type="dxa"/>
            <w:shd w:val="clear" w:color="auto" w:fill="auto"/>
            <w:vAlign w:val="center"/>
          </w:tcPr>
          <w:p w:rsidR="007F58B2" w:rsidRPr="007F58B2" w:rsidRDefault="007F58B2" w:rsidP="009A7901">
            <w:pPr>
              <w:jc w:val="center"/>
              <w:rPr>
                <w:rFonts w:ascii="Times New Roman" w:hAnsi="Times New Roman"/>
                <w:sz w:val="20"/>
                <w:szCs w:val="20"/>
              </w:rPr>
            </w:pPr>
            <w:r w:rsidRPr="007F58B2">
              <w:rPr>
                <w:rFonts w:ascii="Times New Roman" w:hAnsi="Times New Roman"/>
                <w:sz w:val="20"/>
                <w:szCs w:val="20"/>
              </w:rPr>
              <w:t>20</w:t>
            </w:r>
          </w:p>
        </w:tc>
        <w:tc>
          <w:tcPr>
            <w:tcW w:w="3936" w:type="dxa"/>
            <w:shd w:val="clear" w:color="auto" w:fill="auto"/>
          </w:tcPr>
          <w:p w:rsidR="007F58B2" w:rsidRPr="007F58B2" w:rsidRDefault="007F58B2" w:rsidP="009A7901">
            <w:pPr>
              <w:rPr>
                <w:rFonts w:ascii="Times New Roman" w:hAnsi="Times New Roman"/>
                <w:sz w:val="20"/>
                <w:szCs w:val="20"/>
              </w:rPr>
            </w:pPr>
            <w:r w:rsidRPr="007F58B2">
              <w:rPr>
                <w:rFonts w:ascii="Times New Roman" w:hAnsi="Times New Roman"/>
                <w:sz w:val="20"/>
                <w:szCs w:val="20"/>
              </w:rPr>
              <w:t>Lielums no 0-20 par nolikuma vērtējamo kritēriju (un kur 20 – augstākais vērtējums).</w:t>
            </w:r>
          </w:p>
          <w:p w:rsidR="007F58B2" w:rsidRPr="007F58B2" w:rsidRDefault="007F58B2" w:rsidP="009A7901">
            <w:pPr>
              <w:rPr>
                <w:rFonts w:ascii="Times New Roman" w:hAnsi="Times New Roman"/>
                <w:sz w:val="20"/>
                <w:szCs w:val="20"/>
              </w:rPr>
            </w:pPr>
          </w:p>
          <w:p w:rsidR="007F58B2" w:rsidRPr="007F58B2" w:rsidRDefault="007F58B2" w:rsidP="009A7901">
            <w:pPr>
              <w:rPr>
                <w:rFonts w:ascii="Times New Roman" w:hAnsi="Times New Roman"/>
                <w:sz w:val="20"/>
                <w:szCs w:val="20"/>
              </w:rPr>
            </w:pPr>
            <w:r w:rsidRPr="007F58B2">
              <w:rPr>
                <w:rFonts w:ascii="Times New Roman" w:hAnsi="Times New Roman"/>
                <w:sz w:val="20"/>
                <w:szCs w:val="20"/>
              </w:rPr>
              <w:t>Ja pretendenta iesniegtā grafiskā standarta mākslinieciskā izpildījuma kvalitāte ir:</w:t>
            </w:r>
          </w:p>
          <w:p w:rsidR="007F58B2" w:rsidRPr="007F58B2" w:rsidRDefault="007F58B2" w:rsidP="009A7901">
            <w:pPr>
              <w:rPr>
                <w:rFonts w:ascii="Times New Roman" w:hAnsi="Times New Roman"/>
                <w:sz w:val="20"/>
                <w:szCs w:val="20"/>
              </w:rPr>
            </w:pPr>
          </w:p>
          <w:p w:rsidR="007F58B2" w:rsidRPr="007F58B2" w:rsidRDefault="007F58B2" w:rsidP="007F58B2">
            <w:pPr>
              <w:pStyle w:val="ListParagraph"/>
              <w:numPr>
                <w:ilvl w:val="0"/>
                <w:numId w:val="18"/>
              </w:numPr>
              <w:rPr>
                <w:rFonts w:ascii="Times New Roman" w:hAnsi="Times New Roman"/>
                <w:sz w:val="20"/>
                <w:szCs w:val="20"/>
              </w:rPr>
            </w:pPr>
            <w:r w:rsidRPr="007F58B2">
              <w:rPr>
                <w:rFonts w:ascii="Times New Roman" w:hAnsi="Times New Roman"/>
                <w:sz w:val="20"/>
                <w:szCs w:val="20"/>
              </w:rPr>
              <w:t>zema, komisija piešķir 0 punktus;</w:t>
            </w:r>
          </w:p>
          <w:p w:rsidR="007F58B2" w:rsidRPr="007F58B2" w:rsidRDefault="007F58B2" w:rsidP="007F58B2">
            <w:pPr>
              <w:pStyle w:val="ListParagraph"/>
              <w:numPr>
                <w:ilvl w:val="0"/>
                <w:numId w:val="18"/>
              </w:numPr>
              <w:rPr>
                <w:rFonts w:ascii="Times New Roman" w:hAnsi="Times New Roman"/>
                <w:sz w:val="20"/>
                <w:szCs w:val="20"/>
              </w:rPr>
            </w:pPr>
            <w:r w:rsidRPr="007F58B2">
              <w:rPr>
                <w:rFonts w:ascii="Times New Roman" w:hAnsi="Times New Roman"/>
                <w:sz w:val="20"/>
                <w:szCs w:val="20"/>
              </w:rPr>
              <w:t>vidēja, komisija piešķir 10 punktus;</w:t>
            </w:r>
          </w:p>
          <w:p w:rsidR="007F58B2" w:rsidRPr="007F58B2" w:rsidRDefault="007F58B2" w:rsidP="007F58B2">
            <w:pPr>
              <w:pStyle w:val="ListParagraph"/>
              <w:numPr>
                <w:ilvl w:val="0"/>
                <w:numId w:val="18"/>
              </w:numPr>
              <w:rPr>
                <w:rFonts w:ascii="Times New Roman" w:hAnsi="Times New Roman"/>
                <w:sz w:val="20"/>
                <w:szCs w:val="20"/>
              </w:rPr>
            </w:pPr>
            <w:r w:rsidRPr="007F58B2">
              <w:rPr>
                <w:rFonts w:ascii="Times New Roman" w:hAnsi="Times New Roman"/>
                <w:sz w:val="20"/>
                <w:szCs w:val="20"/>
              </w:rPr>
              <w:t>augsta, komisija piešķir 20 punktus.</w:t>
            </w:r>
          </w:p>
          <w:p w:rsidR="007F58B2" w:rsidRPr="007F58B2" w:rsidRDefault="007F58B2" w:rsidP="009A7901">
            <w:pPr>
              <w:rPr>
                <w:rFonts w:ascii="Times New Roman" w:hAnsi="Times New Roman"/>
                <w:sz w:val="20"/>
                <w:szCs w:val="20"/>
              </w:rPr>
            </w:pPr>
          </w:p>
        </w:tc>
      </w:tr>
      <w:tr w:rsidR="007F58B2" w:rsidRPr="00316EE0" w:rsidTr="009A7901">
        <w:trPr>
          <w:jc w:val="center"/>
        </w:trPr>
        <w:tc>
          <w:tcPr>
            <w:tcW w:w="959" w:type="dxa"/>
          </w:tcPr>
          <w:p w:rsidR="007F58B2" w:rsidRPr="007F58B2" w:rsidRDefault="007F58B2" w:rsidP="009A7901">
            <w:pPr>
              <w:jc w:val="center"/>
              <w:rPr>
                <w:rFonts w:ascii="Times New Roman" w:hAnsi="Times New Roman"/>
                <w:sz w:val="20"/>
                <w:szCs w:val="20"/>
              </w:rPr>
            </w:pPr>
            <w:r w:rsidRPr="007F58B2">
              <w:rPr>
                <w:rFonts w:ascii="Times New Roman" w:hAnsi="Times New Roman"/>
                <w:sz w:val="20"/>
                <w:szCs w:val="20"/>
              </w:rPr>
              <w:t>4.</w:t>
            </w:r>
          </w:p>
        </w:tc>
        <w:tc>
          <w:tcPr>
            <w:tcW w:w="3333" w:type="dxa"/>
            <w:shd w:val="clear" w:color="auto" w:fill="auto"/>
            <w:vAlign w:val="center"/>
          </w:tcPr>
          <w:p w:rsidR="007F58B2" w:rsidRPr="007F58B2" w:rsidRDefault="007F58B2" w:rsidP="009A7901">
            <w:pPr>
              <w:jc w:val="center"/>
              <w:rPr>
                <w:rFonts w:ascii="Times New Roman" w:hAnsi="Times New Roman"/>
                <w:sz w:val="20"/>
                <w:szCs w:val="20"/>
              </w:rPr>
            </w:pPr>
            <w:r w:rsidRPr="007F58B2">
              <w:rPr>
                <w:rFonts w:ascii="Times New Roman" w:hAnsi="Times New Roman"/>
                <w:sz w:val="20"/>
                <w:szCs w:val="20"/>
              </w:rPr>
              <w:t xml:space="preserve">Piedāvātā cena </w:t>
            </w:r>
          </w:p>
          <w:p w:rsidR="007F58B2" w:rsidRPr="007F58B2" w:rsidRDefault="007F58B2" w:rsidP="009A7901">
            <w:pPr>
              <w:jc w:val="center"/>
              <w:rPr>
                <w:rFonts w:ascii="Times New Roman" w:hAnsi="Times New Roman"/>
                <w:sz w:val="20"/>
                <w:szCs w:val="20"/>
              </w:rPr>
            </w:pPr>
            <w:r w:rsidRPr="007F58B2">
              <w:rPr>
                <w:rFonts w:ascii="Times New Roman" w:hAnsi="Times New Roman"/>
                <w:sz w:val="20"/>
                <w:szCs w:val="20"/>
              </w:rPr>
              <w:t>(</w:t>
            </w:r>
            <w:r w:rsidRPr="007F58B2">
              <w:rPr>
                <w:rFonts w:ascii="Times New Roman" w:hAnsi="Times New Roman"/>
                <w:i/>
                <w:sz w:val="20"/>
                <w:szCs w:val="20"/>
              </w:rPr>
              <w:t>A</w:t>
            </w:r>
            <w:r w:rsidRPr="007F58B2">
              <w:rPr>
                <w:rFonts w:ascii="Times New Roman" w:hAnsi="Times New Roman"/>
                <w:sz w:val="20"/>
                <w:szCs w:val="20"/>
              </w:rPr>
              <w:t>)</w:t>
            </w:r>
          </w:p>
        </w:tc>
        <w:tc>
          <w:tcPr>
            <w:tcW w:w="985" w:type="dxa"/>
            <w:shd w:val="clear" w:color="auto" w:fill="auto"/>
            <w:vAlign w:val="center"/>
          </w:tcPr>
          <w:p w:rsidR="007F58B2" w:rsidRPr="007F58B2" w:rsidRDefault="007F58B2" w:rsidP="009A7901">
            <w:pPr>
              <w:jc w:val="center"/>
              <w:rPr>
                <w:rFonts w:ascii="Times New Roman" w:hAnsi="Times New Roman"/>
                <w:sz w:val="20"/>
                <w:szCs w:val="20"/>
              </w:rPr>
            </w:pPr>
            <w:r w:rsidRPr="007F58B2">
              <w:rPr>
                <w:rFonts w:ascii="Times New Roman" w:hAnsi="Times New Roman"/>
                <w:sz w:val="20"/>
                <w:szCs w:val="20"/>
              </w:rPr>
              <w:t>40</w:t>
            </w:r>
          </w:p>
        </w:tc>
        <w:tc>
          <w:tcPr>
            <w:tcW w:w="3936" w:type="dxa"/>
            <w:shd w:val="clear" w:color="auto" w:fill="auto"/>
            <w:vAlign w:val="center"/>
          </w:tcPr>
          <w:p w:rsidR="007F58B2" w:rsidRPr="007F58B2" w:rsidRDefault="007F58B2" w:rsidP="009A7901">
            <w:pPr>
              <w:rPr>
                <w:rFonts w:ascii="Times New Roman" w:hAnsi="Times New Roman"/>
                <w:sz w:val="20"/>
                <w:szCs w:val="20"/>
              </w:rPr>
            </w:pPr>
            <w:r w:rsidRPr="007F58B2">
              <w:rPr>
                <w:rFonts w:ascii="Times New Roman" w:hAnsi="Times New Roman"/>
                <w:sz w:val="20"/>
                <w:szCs w:val="20"/>
              </w:rPr>
              <w:t>Punktus par cenu nosaka saskaņā ar šādu formulu:</w:t>
            </w:r>
          </w:p>
          <w:p w:rsidR="007F58B2" w:rsidRPr="007F58B2" w:rsidRDefault="007F58B2" w:rsidP="009A7901">
            <w:pPr>
              <w:rPr>
                <w:rFonts w:ascii="Times New Roman" w:hAnsi="Times New Roman"/>
                <w:sz w:val="20"/>
                <w:szCs w:val="20"/>
              </w:rPr>
            </w:pPr>
            <w:r w:rsidRPr="007F58B2">
              <w:rPr>
                <w:rFonts w:ascii="Times New Roman" w:hAnsi="Times New Roman"/>
                <w:sz w:val="20"/>
                <w:szCs w:val="20"/>
              </w:rPr>
              <w:t xml:space="preserve">                        </w:t>
            </w:r>
            <w:r w:rsidRPr="007F58B2">
              <w:rPr>
                <w:rFonts w:ascii="Times New Roman" w:hAnsi="Times New Roman"/>
                <w:position w:val="-32"/>
                <w:sz w:val="20"/>
                <w:szCs w:val="20"/>
              </w:rPr>
              <w:object w:dxaOrig="13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36.95pt" o:ole="">
                  <v:imagedata r:id="rId8" o:title=""/>
                </v:shape>
                <o:OLEObject Type="Embed" ProgID="Equation.3" ShapeID="_x0000_i1025" DrawAspect="Content" ObjectID="_1566370519" r:id="rId9"/>
              </w:object>
            </w:r>
          </w:p>
          <w:p w:rsidR="007F58B2" w:rsidRPr="007F58B2" w:rsidRDefault="007F58B2" w:rsidP="009A7901">
            <w:pPr>
              <w:rPr>
                <w:rFonts w:ascii="Times New Roman" w:hAnsi="Times New Roman"/>
                <w:sz w:val="20"/>
                <w:szCs w:val="20"/>
              </w:rPr>
            </w:pPr>
            <w:r w:rsidRPr="007F58B2">
              <w:rPr>
                <w:rFonts w:ascii="Times New Roman" w:hAnsi="Times New Roman"/>
                <w:sz w:val="20"/>
                <w:szCs w:val="20"/>
              </w:rPr>
              <w:t>kur:</w:t>
            </w:r>
          </w:p>
          <w:p w:rsidR="007F58B2" w:rsidRPr="007F58B2" w:rsidRDefault="007F58B2" w:rsidP="009A7901">
            <w:pPr>
              <w:rPr>
                <w:rFonts w:ascii="Times New Roman" w:hAnsi="Times New Roman"/>
                <w:sz w:val="20"/>
                <w:szCs w:val="20"/>
              </w:rPr>
            </w:pPr>
            <w:proofErr w:type="spellStart"/>
            <w:r w:rsidRPr="007F58B2">
              <w:rPr>
                <w:rFonts w:ascii="Times New Roman" w:hAnsi="Times New Roman"/>
                <w:sz w:val="20"/>
                <w:szCs w:val="20"/>
              </w:rPr>
              <w:t>A</w:t>
            </w:r>
            <w:r w:rsidRPr="007F58B2">
              <w:rPr>
                <w:rFonts w:ascii="Times New Roman" w:hAnsi="Times New Roman"/>
                <w:sz w:val="20"/>
                <w:szCs w:val="20"/>
                <w:vertAlign w:val="subscript"/>
              </w:rPr>
              <w:t>min</w:t>
            </w:r>
            <w:proofErr w:type="spellEnd"/>
            <w:r w:rsidRPr="007F58B2">
              <w:rPr>
                <w:rFonts w:ascii="Times New Roman" w:hAnsi="Times New Roman"/>
                <w:sz w:val="20"/>
                <w:szCs w:val="20"/>
              </w:rPr>
              <w:t xml:space="preserve"> = Zemākā piedāvātā cena par grafiskā standarta izstrādi no visiem piedāvājumiem.</w:t>
            </w:r>
          </w:p>
          <w:p w:rsidR="007F58B2" w:rsidRPr="007F58B2" w:rsidRDefault="007F58B2" w:rsidP="009A7901">
            <w:pPr>
              <w:rPr>
                <w:rFonts w:ascii="Times New Roman" w:hAnsi="Times New Roman"/>
                <w:sz w:val="20"/>
                <w:szCs w:val="20"/>
              </w:rPr>
            </w:pPr>
            <w:r w:rsidRPr="007F58B2">
              <w:rPr>
                <w:rFonts w:ascii="Times New Roman" w:hAnsi="Times New Roman"/>
                <w:sz w:val="20"/>
                <w:szCs w:val="20"/>
              </w:rPr>
              <w:t>A</w:t>
            </w:r>
            <w:r w:rsidRPr="007F58B2">
              <w:rPr>
                <w:rFonts w:ascii="Times New Roman" w:hAnsi="Times New Roman"/>
                <w:sz w:val="20"/>
                <w:szCs w:val="20"/>
                <w:vertAlign w:val="subscript"/>
              </w:rPr>
              <w:t xml:space="preserve">p </w:t>
            </w:r>
            <w:r w:rsidRPr="007F58B2">
              <w:rPr>
                <w:rFonts w:ascii="Times New Roman" w:hAnsi="Times New Roman"/>
                <w:sz w:val="20"/>
                <w:szCs w:val="20"/>
              </w:rPr>
              <w:t>= Konkrētā pretendenta piedāvātā cena.</w:t>
            </w:r>
          </w:p>
          <w:p w:rsidR="007F58B2" w:rsidRPr="007F58B2" w:rsidRDefault="007F58B2" w:rsidP="009A7901">
            <w:pPr>
              <w:rPr>
                <w:rFonts w:ascii="Times New Roman" w:hAnsi="Times New Roman"/>
                <w:sz w:val="20"/>
                <w:szCs w:val="20"/>
              </w:rPr>
            </w:pPr>
            <w:r w:rsidRPr="007F58B2">
              <w:rPr>
                <w:rFonts w:ascii="Times New Roman" w:hAnsi="Times New Roman"/>
                <w:sz w:val="20"/>
                <w:szCs w:val="20"/>
              </w:rPr>
              <w:t>40 – apzīmē maksimālo punktu skaitu.</w:t>
            </w:r>
          </w:p>
          <w:p w:rsidR="007F58B2" w:rsidRPr="007F58B2" w:rsidRDefault="007F58B2" w:rsidP="009A7901">
            <w:pPr>
              <w:rPr>
                <w:rFonts w:ascii="Times New Roman" w:hAnsi="Times New Roman"/>
                <w:sz w:val="20"/>
                <w:szCs w:val="20"/>
              </w:rPr>
            </w:pPr>
          </w:p>
        </w:tc>
      </w:tr>
      <w:tr w:rsidR="007F58B2" w:rsidRPr="00316EE0" w:rsidTr="009A7901">
        <w:trPr>
          <w:jc w:val="center"/>
        </w:trPr>
        <w:tc>
          <w:tcPr>
            <w:tcW w:w="959" w:type="dxa"/>
          </w:tcPr>
          <w:p w:rsidR="007F58B2" w:rsidRPr="007F58B2" w:rsidRDefault="007F58B2" w:rsidP="009A7901">
            <w:pPr>
              <w:jc w:val="center"/>
              <w:rPr>
                <w:rFonts w:ascii="Times New Roman" w:hAnsi="Times New Roman"/>
                <w:sz w:val="20"/>
                <w:szCs w:val="20"/>
              </w:rPr>
            </w:pPr>
            <w:r w:rsidRPr="007F58B2">
              <w:rPr>
                <w:rFonts w:ascii="Times New Roman" w:hAnsi="Times New Roman"/>
                <w:sz w:val="20"/>
                <w:szCs w:val="20"/>
              </w:rPr>
              <w:t>5.</w:t>
            </w:r>
          </w:p>
        </w:tc>
        <w:tc>
          <w:tcPr>
            <w:tcW w:w="3333" w:type="dxa"/>
            <w:shd w:val="clear" w:color="auto" w:fill="auto"/>
            <w:vAlign w:val="center"/>
          </w:tcPr>
          <w:p w:rsidR="007F58B2" w:rsidRPr="007F58B2" w:rsidRDefault="007F58B2" w:rsidP="009A7901">
            <w:pPr>
              <w:jc w:val="center"/>
              <w:rPr>
                <w:rFonts w:ascii="Times New Roman" w:hAnsi="Times New Roman"/>
                <w:sz w:val="20"/>
                <w:szCs w:val="20"/>
              </w:rPr>
            </w:pPr>
            <w:r w:rsidRPr="007F58B2">
              <w:rPr>
                <w:rFonts w:ascii="Times New Roman" w:hAnsi="Times New Roman"/>
                <w:sz w:val="20"/>
                <w:szCs w:val="20"/>
              </w:rPr>
              <w:t xml:space="preserve">Vērtējums katram </w:t>
            </w:r>
            <w:proofErr w:type="spellStart"/>
            <w:r w:rsidRPr="007F58B2">
              <w:rPr>
                <w:rFonts w:ascii="Times New Roman" w:hAnsi="Times New Roman"/>
                <w:sz w:val="20"/>
                <w:szCs w:val="20"/>
              </w:rPr>
              <w:t>portfolio</w:t>
            </w:r>
            <w:proofErr w:type="spellEnd"/>
            <w:r w:rsidRPr="007F58B2">
              <w:rPr>
                <w:rFonts w:ascii="Times New Roman" w:hAnsi="Times New Roman"/>
                <w:sz w:val="20"/>
                <w:szCs w:val="20"/>
              </w:rPr>
              <w:t xml:space="preserve"> (</w:t>
            </w:r>
            <w:r w:rsidRPr="007F58B2">
              <w:rPr>
                <w:rFonts w:ascii="Times New Roman" w:hAnsi="Times New Roman"/>
                <w:i/>
                <w:sz w:val="20"/>
                <w:szCs w:val="20"/>
              </w:rPr>
              <w:t>V</w:t>
            </w:r>
            <w:r w:rsidRPr="007F58B2">
              <w:rPr>
                <w:rFonts w:ascii="Times New Roman" w:hAnsi="Times New Roman"/>
                <w:sz w:val="20"/>
                <w:szCs w:val="20"/>
              </w:rPr>
              <w:t>)</w:t>
            </w:r>
          </w:p>
        </w:tc>
        <w:tc>
          <w:tcPr>
            <w:tcW w:w="985" w:type="dxa"/>
            <w:shd w:val="clear" w:color="auto" w:fill="auto"/>
            <w:vAlign w:val="center"/>
          </w:tcPr>
          <w:p w:rsidR="007F58B2" w:rsidRPr="007F58B2" w:rsidRDefault="007F58B2" w:rsidP="009A7901">
            <w:pPr>
              <w:jc w:val="center"/>
              <w:rPr>
                <w:rFonts w:ascii="Times New Roman" w:hAnsi="Times New Roman"/>
                <w:sz w:val="20"/>
                <w:szCs w:val="20"/>
              </w:rPr>
            </w:pPr>
            <w:r w:rsidRPr="007F58B2">
              <w:rPr>
                <w:rFonts w:ascii="Times New Roman" w:hAnsi="Times New Roman"/>
                <w:sz w:val="20"/>
                <w:szCs w:val="20"/>
              </w:rPr>
              <w:t>100</w:t>
            </w:r>
          </w:p>
        </w:tc>
        <w:tc>
          <w:tcPr>
            <w:tcW w:w="3936" w:type="dxa"/>
            <w:shd w:val="clear" w:color="auto" w:fill="auto"/>
          </w:tcPr>
          <w:p w:rsidR="007F58B2" w:rsidRPr="007F58B2" w:rsidRDefault="007F58B2" w:rsidP="009A7901">
            <w:pPr>
              <w:rPr>
                <w:rFonts w:ascii="Times New Roman" w:hAnsi="Times New Roman"/>
                <w:sz w:val="20"/>
                <w:szCs w:val="20"/>
              </w:rPr>
            </w:pPr>
            <w:r w:rsidRPr="007F58B2">
              <w:rPr>
                <w:rFonts w:ascii="Times New Roman" w:hAnsi="Times New Roman"/>
                <w:sz w:val="20"/>
                <w:szCs w:val="20"/>
              </w:rPr>
              <w:t xml:space="preserve">Vērtējumu katram </w:t>
            </w:r>
            <w:proofErr w:type="spellStart"/>
            <w:r w:rsidRPr="007F58B2">
              <w:rPr>
                <w:rFonts w:ascii="Times New Roman" w:hAnsi="Times New Roman"/>
                <w:sz w:val="20"/>
                <w:szCs w:val="20"/>
              </w:rPr>
              <w:t>portfolio</w:t>
            </w:r>
            <w:proofErr w:type="spellEnd"/>
            <w:r w:rsidRPr="007F58B2">
              <w:rPr>
                <w:rFonts w:ascii="Times New Roman" w:hAnsi="Times New Roman"/>
                <w:sz w:val="20"/>
                <w:szCs w:val="20"/>
              </w:rPr>
              <w:t xml:space="preserve"> aprēķina pēc šādas formulas:</w:t>
            </w:r>
          </w:p>
          <w:p w:rsidR="007F58B2" w:rsidRPr="007F58B2" w:rsidRDefault="007F58B2" w:rsidP="009A7901">
            <w:pPr>
              <w:rPr>
                <w:rFonts w:ascii="Times New Roman" w:hAnsi="Times New Roman"/>
                <w:sz w:val="20"/>
                <w:szCs w:val="20"/>
              </w:rPr>
            </w:pPr>
            <w:r w:rsidRPr="007F58B2">
              <w:rPr>
                <w:rFonts w:ascii="Times New Roman" w:hAnsi="Times New Roman"/>
                <w:position w:val="-6"/>
                <w:sz w:val="20"/>
                <w:szCs w:val="20"/>
              </w:rPr>
              <w:object w:dxaOrig="1860" w:dyaOrig="279">
                <v:shape id="_x0000_i1026" type="#_x0000_t75" style="width:92.05pt;height:14.4pt" o:ole="">
                  <v:imagedata r:id="rId10" o:title=""/>
                </v:shape>
                <o:OLEObject Type="Embed" ProgID="Equation.3" ShapeID="_x0000_i1026" DrawAspect="Content" ObjectID="_1566370520" r:id="rId11"/>
              </w:object>
            </w:r>
          </w:p>
        </w:tc>
      </w:tr>
      <w:tr w:rsidR="007F58B2" w:rsidRPr="00316EE0" w:rsidTr="009A7901">
        <w:trPr>
          <w:jc w:val="center"/>
        </w:trPr>
        <w:tc>
          <w:tcPr>
            <w:tcW w:w="959" w:type="dxa"/>
          </w:tcPr>
          <w:p w:rsidR="007F58B2" w:rsidRPr="007F58B2" w:rsidRDefault="007F58B2" w:rsidP="009A7901">
            <w:pPr>
              <w:jc w:val="center"/>
              <w:rPr>
                <w:rFonts w:ascii="Times New Roman" w:hAnsi="Times New Roman"/>
                <w:sz w:val="20"/>
                <w:szCs w:val="20"/>
              </w:rPr>
            </w:pPr>
            <w:r w:rsidRPr="007F58B2">
              <w:rPr>
                <w:rFonts w:ascii="Times New Roman" w:hAnsi="Times New Roman"/>
                <w:sz w:val="20"/>
                <w:szCs w:val="20"/>
              </w:rPr>
              <w:t>6.</w:t>
            </w:r>
          </w:p>
        </w:tc>
        <w:tc>
          <w:tcPr>
            <w:tcW w:w="3333" w:type="dxa"/>
            <w:shd w:val="clear" w:color="auto" w:fill="auto"/>
            <w:vAlign w:val="center"/>
          </w:tcPr>
          <w:p w:rsidR="007F58B2" w:rsidRPr="007F58B2" w:rsidRDefault="007F58B2" w:rsidP="009A7901">
            <w:pPr>
              <w:jc w:val="center"/>
              <w:rPr>
                <w:rFonts w:ascii="Times New Roman" w:hAnsi="Times New Roman"/>
                <w:sz w:val="20"/>
                <w:szCs w:val="20"/>
              </w:rPr>
            </w:pPr>
            <w:r w:rsidRPr="007F58B2">
              <w:rPr>
                <w:rFonts w:ascii="Times New Roman" w:hAnsi="Times New Roman"/>
                <w:sz w:val="20"/>
                <w:szCs w:val="20"/>
              </w:rPr>
              <w:t>Vērtējums kopā (</w:t>
            </w:r>
            <w:proofErr w:type="spellStart"/>
            <w:r w:rsidRPr="007F58B2">
              <w:rPr>
                <w:rFonts w:ascii="Times New Roman" w:hAnsi="Times New Roman"/>
                <w:sz w:val="20"/>
                <w:szCs w:val="20"/>
              </w:rPr>
              <w:t>V</w:t>
            </w:r>
            <w:r w:rsidRPr="007F58B2">
              <w:rPr>
                <w:rFonts w:ascii="Times New Roman" w:hAnsi="Times New Roman"/>
                <w:sz w:val="20"/>
                <w:szCs w:val="20"/>
                <w:vertAlign w:val="subscript"/>
              </w:rPr>
              <w:t>kopā</w:t>
            </w:r>
            <w:proofErr w:type="spellEnd"/>
            <w:r w:rsidRPr="007F58B2">
              <w:rPr>
                <w:rFonts w:ascii="Times New Roman" w:hAnsi="Times New Roman"/>
                <w:sz w:val="20"/>
                <w:szCs w:val="20"/>
              </w:rPr>
              <w:t>)</w:t>
            </w:r>
          </w:p>
        </w:tc>
        <w:tc>
          <w:tcPr>
            <w:tcW w:w="985" w:type="dxa"/>
            <w:shd w:val="clear" w:color="auto" w:fill="auto"/>
            <w:vAlign w:val="center"/>
          </w:tcPr>
          <w:p w:rsidR="007F58B2" w:rsidRPr="007F58B2" w:rsidRDefault="007F58B2" w:rsidP="009A7901">
            <w:pPr>
              <w:jc w:val="center"/>
              <w:rPr>
                <w:rFonts w:ascii="Times New Roman" w:hAnsi="Times New Roman"/>
                <w:sz w:val="20"/>
                <w:szCs w:val="20"/>
              </w:rPr>
            </w:pPr>
            <w:r w:rsidRPr="007F58B2">
              <w:rPr>
                <w:rFonts w:ascii="Times New Roman" w:hAnsi="Times New Roman"/>
                <w:sz w:val="20"/>
                <w:szCs w:val="20"/>
              </w:rPr>
              <w:t>200</w:t>
            </w:r>
          </w:p>
        </w:tc>
        <w:tc>
          <w:tcPr>
            <w:tcW w:w="3936" w:type="dxa"/>
            <w:shd w:val="clear" w:color="auto" w:fill="auto"/>
          </w:tcPr>
          <w:p w:rsidR="007F58B2" w:rsidRPr="007F58B2" w:rsidRDefault="007F58B2" w:rsidP="009A7901">
            <w:pPr>
              <w:rPr>
                <w:rFonts w:ascii="Times New Roman" w:hAnsi="Times New Roman"/>
                <w:sz w:val="20"/>
                <w:szCs w:val="20"/>
              </w:rPr>
            </w:pPr>
            <w:proofErr w:type="spellStart"/>
            <w:r w:rsidRPr="007F58B2">
              <w:rPr>
                <w:rFonts w:ascii="Times New Roman" w:hAnsi="Times New Roman"/>
                <w:sz w:val="20"/>
                <w:szCs w:val="20"/>
              </w:rPr>
              <w:t>V</w:t>
            </w:r>
            <w:r w:rsidRPr="007F58B2">
              <w:rPr>
                <w:rFonts w:ascii="Times New Roman" w:hAnsi="Times New Roman"/>
                <w:sz w:val="20"/>
                <w:szCs w:val="20"/>
                <w:vertAlign w:val="subscript"/>
              </w:rPr>
              <w:t>kopā</w:t>
            </w:r>
            <w:proofErr w:type="spellEnd"/>
            <w:r w:rsidRPr="007F58B2">
              <w:rPr>
                <w:rFonts w:ascii="Times New Roman" w:hAnsi="Times New Roman"/>
                <w:sz w:val="20"/>
                <w:szCs w:val="20"/>
              </w:rPr>
              <w:t>=</w:t>
            </w:r>
            <w:proofErr w:type="spellStart"/>
            <w:r w:rsidRPr="007F58B2">
              <w:rPr>
                <w:rFonts w:ascii="Times New Roman" w:hAnsi="Times New Roman"/>
                <w:sz w:val="20"/>
                <w:szCs w:val="20"/>
              </w:rPr>
              <w:t>V</w:t>
            </w:r>
            <w:r w:rsidRPr="007F58B2">
              <w:rPr>
                <w:rFonts w:ascii="Times New Roman" w:hAnsi="Times New Roman"/>
                <w:sz w:val="20"/>
                <w:szCs w:val="20"/>
                <w:vertAlign w:val="subscript"/>
              </w:rPr>
              <w:t>pirmajam</w:t>
            </w:r>
            <w:proofErr w:type="spellEnd"/>
            <w:r w:rsidRPr="007F58B2">
              <w:rPr>
                <w:rFonts w:ascii="Times New Roman" w:hAnsi="Times New Roman"/>
                <w:sz w:val="20"/>
                <w:szCs w:val="20"/>
                <w:vertAlign w:val="subscript"/>
              </w:rPr>
              <w:t xml:space="preserve"> </w:t>
            </w:r>
            <w:proofErr w:type="spellStart"/>
            <w:r w:rsidRPr="007F58B2">
              <w:rPr>
                <w:rFonts w:ascii="Times New Roman" w:hAnsi="Times New Roman"/>
                <w:sz w:val="20"/>
                <w:szCs w:val="20"/>
                <w:vertAlign w:val="subscript"/>
              </w:rPr>
              <w:t>portfolio</w:t>
            </w:r>
            <w:r w:rsidRPr="007F58B2">
              <w:rPr>
                <w:rFonts w:ascii="Times New Roman" w:hAnsi="Times New Roman"/>
                <w:sz w:val="20"/>
                <w:szCs w:val="20"/>
              </w:rPr>
              <w:t>+V</w:t>
            </w:r>
            <w:r w:rsidRPr="007F58B2">
              <w:rPr>
                <w:rFonts w:ascii="Times New Roman" w:hAnsi="Times New Roman"/>
                <w:sz w:val="20"/>
                <w:szCs w:val="20"/>
                <w:vertAlign w:val="subscript"/>
              </w:rPr>
              <w:t>otrajam</w:t>
            </w:r>
            <w:proofErr w:type="spellEnd"/>
            <w:r w:rsidRPr="007F58B2">
              <w:rPr>
                <w:rFonts w:ascii="Times New Roman" w:hAnsi="Times New Roman"/>
                <w:sz w:val="20"/>
                <w:szCs w:val="20"/>
                <w:vertAlign w:val="subscript"/>
              </w:rPr>
              <w:t xml:space="preserve"> </w:t>
            </w:r>
            <w:proofErr w:type="spellStart"/>
            <w:r w:rsidRPr="007F58B2">
              <w:rPr>
                <w:rFonts w:ascii="Times New Roman" w:hAnsi="Times New Roman"/>
                <w:sz w:val="20"/>
                <w:szCs w:val="20"/>
                <w:vertAlign w:val="subscript"/>
              </w:rPr>
              <w:t>portfolio</w:t>
            </w:r>
            <w:proofErr w:type="spellEnd"/>
          </w:p>
        </w:tc>
      </w:tr>
    </w:tbl>
    <w:p w:rsidR="007F58B2" w:rsidRPr="008F285B" w:rsidRDefault="007F58B2" w:rsidP="007F58B2">
      <w:pPr>
        <w:pStyle w:val="ListParagraph"/>
        <w:spacing w:line="276" w:lineRule="auto"/>
        <w:ind w:left="357"/>
        <w:jc w:val="both"/>
        <w:rPr>
          <w:rFonts w:ascii="Times New Roman" w:eastAsia="Times New Roman" w:hAnsi="Times New Roman"/>
          <w:bCs/>
          <w:lang w:eastAsia="lv-LV"/>
        </w:rPr>
      </w:pPr>
    </w:p>
    <w:p w:rsidR="008F1BAE" w:rsidRPr="00334F94" w:rsidRDefault="003326E9" w:rsidP="00EC0813">
      <w:pPr>
        <w:pStyle w:val="ListParagraph"/>
        <w:numPr>
          <w:ilvl w:val="0"/>
          <w:numId w:val="3"/>
        </w:numPr>
        <w:spacing w:line="276" w:lineRule="auto"/>
        <w:ind w:left="357" w:hanging="357"/>
        <w:jc w:val="both"/>
        <w:rPr>
          <w:rFonts w:ascii="Times New Roman" w:eastAsia="Times New Roman" w:hAnsi="Times New Roman"/>
          <w:bCs/>
          <w:lang w:eastAsia="lv-LV"/>
        </w:rPr>
      </w:pPr>
      <w:smartTag w:uri="schemas-tilde-lv/tildestengine" w:element="phone">
        <w:smartTagPr>
          <w:attr w:name="text" w:val="Paziņojums"/>
          <w:attr w:name="id" w:val="-1"/>
          <w:attr w:name="baseform" w:val="Paziņojums"/>
        </w:smartTagPr>
        <w:r w:rsidRPr="00334F94">
          <w:rPr>
            <w:rFonts w:ascii="Times New Roman" w:eastAsia="Times New Roman" w:hAnsi="Times New Roman"/>
            <w:b/>
            <w:bCs/>
            <w:lang w:eastAsia="lv-LV"/>
          </w:rPr>
          <w:t>Paziņojums</w:t>
        </w:r>
      </w:smartTag>
      <w:r w:rsidRPr="00334F94">
        <w:rPr>
          <w:rFonts w:ascii="Times New Roman" w:eastAsia="Times New Roman" w:hAnsi="Times New Roman"/>
          <w:b/>
          <w:bCs/>
          <w:lang w:eastAsia="lv-LV"/>
        </w:rPr>
        <w:t xml:space="preserve"> par plānoto </w:t>
      </w:r>
      <w:smartTag w:uri="schemas-tilde-lv/tildestengine" w:element="phone">
        <w:smartTagPr>
          <w:attr w:name="text" w:val="līgumu"/>
          <w:attr w:name="id" w:val="-1"/>
          <w:attr w:name="baseform" w:val="līgum|s"/>
        </w:smartTagPr>
        <w:r w:rsidRPr="00334F94">
          <w:rPr>
            <w:rFonts w:ascii="Times New Roman" w:eastAsia="Times New Roman" w:hAnsi="Times New Roman"/>
            <w:b/>
            <w:bCs/>
            <w:lang w:eastAsia="lv-LV"/>
          </w:rPr>
          <w:t>līgumu</w:t>
        </w:r>
      </w:smartTag>
      <w:r w:rsidRPr="00334F94">
        <w:rPr>
          <w:rFonts w:ascii="Times New Roman" w:eastAsia="Times New Roman" w:hAnsi="Times New Roman"/>
          <w:b/>
          <w:bCs/>
          <w:lang w:eastAsia="lv-LV"/>
        </w:rPr>
        <w:t xml:space="preserve"> publicēts </w:t>
      </w:r>
      <w:r w:rsidR="008F1BAE" w:rsidRPr="00334F94">
        <w:rPr>
          <w:rFonts w:ascii="Times New Roman" w:eastAsia="Times New Roman" w:hAnsi="Times New Roman"/>
          <w:b/>
          <w:bCs/>
          <w:lang w:eastAsia="lv-LV"/>
        </w:rPr>
        <w:t>Iepirkumu uzraudzības biroja mājaslapā</w:t>
      </w:r>
      <w:r w:rsidRPr="00334F94">
        <w:rPr>
          <w:rFonts w:ascii="Times New Roman" w:eastAsia="Times New Roman" w:hAnsi="Times New Roman"/>
          <w:b/>
          <w:bCs/>
          <w:lang w:eastAsia="lv-LV"/>
        </w:rPr>
        <w:t xml:space="preserve"> (</w:t>
      </w:r>
      <w:hyperlink r:id="rId12" w:history="1">
        <w:r w:rsidRPr="00334F94">
          <w:rPr>
            <w:rFonts w:ascii="Times New Roman" w:eastAsia="Times New Roman" w:hAnsi="Times New Roman"/>
            <w:b/>
            <w:bCs/>
            <w:color w:val="000000"/>
            <w:lang w:eastAsia="lv-LV"/>
          </w:rPr>
          <w:t>www.iub.gov.lv</w:t>
        </w:r>
      </w:hyperlink>
      <w:r w:rsidRPr="00334F94">
        <w:rPr>
          <w:rFonts w:ascii="Times New Roman" w:eastAsia="Times New Roman" w:hAnsi="Times New Roman"/>
          <w:b/>
          <w:bCs/>
          <w:lang w:eastAsia="lv-LV"/>
        </w:rPr>
        <w:t>):</w:t>
      </w:r>
      <w:r w:rsidR="00DB11ED" w:rsidRPr="00334F94">
        <w:rPr>
          <w:rFonts w:ascii="Times New Roman" w:eastAsia="Times New Roman" w:hAnsi="Times New Roman"/>
          <w:b/>
          <w:bCs/>
          <w:lang w:eastAsia="lv-LV"/>
        </w:rPr>
        <w:t xml:space="preserve"> </w:t>
      </w:r>
      <w:r w:rsidR="00B866B0" w:rsidRPr="00334F94">
        <w:rPr>
          <w:rFonts w:ascii="Times New Roman" w:eastAsia="Times New Roman" w:hAnsi="Times New Roman"/>
          <w:bCs/>
          <w:lang w:eastAsia="lv-LV"/>
        </w:rPr>
        <w:t>201</w:t>
      </w:r>
      <w:r w:rsidR="005A54B5">
        <w:rPr>
          <w:rFonts w:ascii="Times New Roman" w:eastAsia="Times New Roman" w:hAnsi="Times New Roman"/>
          <w:bCs/>
          <w:lang w:eastAsia="lv-LV"/>
        </w:rPr>
        <w:t>7</w:t>
      </w:r>
      <w:r w:rsidR="00EF0772" w:rsidRPr="00334F94">
        <w:rPr>
          <w:rFonts w:ascii="Times New Roman" w:eastAsia="Times New Roman" w:hAnsi="Times New Roman"/>
          <w:bCs/>
          <w:lang w:eastAsia="lv-LV"/>
        </w:rPr>
        <w:t xml:space="preserve">. gada </w:t>
      </w:r>
      <w:r w:rsidR="007F58B2">
        <w:rPr>
          <w:rFonts w:ascii="Times New Roman" w:eastAsia="Times New Roman" w:hAnsi="Times New Roman"/>
          <w:bCs/>
          <w:lang w:eastAsia="lv-LV"/>
        </w:rPr>
        <w:t>30</w:t>
      </w:r>
      <w:r w:rsidR="00E9659C">
        <w:rPr>
          <w:rFonts w:ascii="Times New Roman" w:eastAsia="Times New Roman" w:hAnsi="Times New Roman"/>
          <w:bCs/>
          <w:lang w:eastAsia="lv-LV"/>
        </w:rPr>
        <w:t>.</w:t>
      </w:r>
      <w:r w:rsidR="00100551">
        <w:rPr>
          <w:rFonts w:ascii="Times New Roman" w:eastAsia="Times New Roman" w:hAnsi="Times New Roman"/>
          <w:bCs/>
          <w:lang w:eastAsia="lv-LV"/>
        </w:rPr>
        <w:t>jūnijā</w:t>
      </w:r>
    </w:p>
    <w:p w:rsidR="003326E9" w:rsidRPr="007F58B2" w:rsidRDefault="003326E9" w:rsidP="00FF5453">
      <w:pPr>
        <w:pStyle w:val="ListParagraph"/>
        <w:numPr>
          <w:ilvl w:val="0"/>
          <w:numId w:val="3"/>
        </w:numPr>
        <w:spacing w:after="120" w:line="276" w:lineRule="auto"/>
        <w:ind w:left="357" w:hanging="357"/>
        <w:jc w:val="both"/>
        <w:rPr>
          <w:rFonts w:ascii="Times New Roman" w:eastAsia="Times New Roman" w:hAnsi="Times New Roman"/>
          <w:bCs/>
          <w:lang w:eastAsia="lv-LV"/>
        </w:rPr>
      </w:pPr>
      <w:r w:rsidRPr="00334F94">
        <w:rPr>
          <w:rFonts w:ascii="Times New Roman" w:eastAsia="Times New Roman" w:hAnsi="Times New Roman"/>
          <w:b/>
          <w:bCs/>
          <w:lang w:eastAsia="lv-LV"/>
        </w:rPr>
        <w:t xml:space="preserve">Pretendenti, kuri </w:t>
      </w:r>
      <w:r w:rsidR="00B866B0" w:rsidRPr="00334F94">
        <w:rPr>
          <w:rFonts w:ascii="Times New Roman" w:eastAsia="Times New Roman" w:hAnsi="Times New Roman"/>
          <w:b/>
          <w:bCs/>
          <w:lang w:eastAsia="lv-LV"/>
        </w:rPr>
        <w:t>līdz 201</w:t>
      </w:r>
      <w:r w:rsidR="00EB63DC">
        <w:rPr>
          <w:rFonts w:ascii="Times New Roman" w:eastAsia="Times New Roman" w:hAnsi="Times New Roman"/>
          <w:b/>
          <w:bCs/>
          <w:lang w:eastAsia="lv-LV"/>
        </w:rPr>
        <w:t>7</w:t>
      </w:r>
      <w:r w:rsidR="00F769DF" w:rsidRPr="00334F94">
        <w:rPr>
          <w:rFonts w:ascii="Times New Roman" w:eastAsia="Times New Roman" w:hAnsi="Times New Roman"/>
          <w:b/>
          <w:bCs/>
          <w:lang w:eastAsia="lv-LV"/>
        </w:rPr>
        <w:t>.</w:t>
      </w:r>
      <w:r w:rsidR="00F61B5C" w:rsidRPr="00334F94">
        <w:rPr>
          <w:rFonts w:ascii="Times New Roman" w:eastAsia="Times New Roman" w:hAnsi="Times New Roman"/>
          <w:b/>
          <w:bCs/>
          <w:lang w:eastAsia="lv-LV"/>
        </w:rPr>
        <w:t xml:space="preserve">gada </w:t>
      </w:r>
      <w:r w:rsidR="00100551">
        <w:rPr>
          <w:rFonts w:ascii="Times New Roman" w:eastAsia="Times New Roman" w:hAnsi="Times New Roman"/>
          <w:b/>
          <w:bCs/>
          <w:lang w:eastAsia="lv-LV"/>
        </w:rPr>
        <w:t>1</w:t>
      </w:r>
      <w:r w:rsidR="007F58B2">
        <w:rPr>
          <w:rFonts w:ascii="Times New Roman" w:eastAsia="Times New Roman" w:hAnsi="Times New Roman"/>
          <w:b/>
          <w:bCs/>
          <w:lang w:eastAsia="lv-LV"/>
        </w:rPr>
        <w:t>1</w:t>
      </w:r>
      <w:r w:rsidR="00D851C5">
        <w:rPr>
          <w:rFonts w:ascii="Times New Roman" w:eastAsia="Times New Roman" w:hAnsi="Times New Roman"/>
          <w:b/>
          <w:bCs/>
          <w:lang w:eastAsia="lv-LV"/>
        </w:rPr>
        <w:t>.</w:t>
      </w:r>
      <w:r w:rsidR="00100551">
        <w:rPr>
          <w:rFonts w:ascii="Times New Roman" w:eastAsia="Times New Roman" w:hAnsi="Times New Roman"/>
          <w:b/>
          <w:bCs/>
          <w:lang w:eastAsia="lv-LV"/>
        </w:rPr>
        <w:t>jūlija</w:t>
      </w:r>
      <w:r w:rsidR="00F769DF" w:rsidRPr="00334F94">
        <w:rPr>
          <w:rFonts w:ascii="Times New Roman" w:eastAsia="Times New Roman" w:hAnsi="Times New Roman"/>
          <w:b/>
          <w:bCs/>
          <w:lang w:eastAsia="lv-LV"/>
        </w:rPr>
        <w:t>, plkst.</w:t>
      </w:r>
      <w:r w:rsidR="00501D73" w:rsidRPr="00334F94">
        <w:rPr>
          <w:rFonts w:ascii="Times New Roman" w:eastAsia="Times New Roman" w:hAnsi="Times New Roman"/>
          <w:b/>
          <w:bCs/>
          <w:lang w:eastAsia="lv-LV"/>
        </w:rPr>
        <w:t>11</w:t>
      </w:r>
      <w:r w:rsidR="0089140D" w:rsidRPr="00334F94">
        <w:rPr>
          <w:rFonts w:ascii="Times New Roman" w:eastAsia="Times New Roman" w:hAnsi="Times New Roman"/>
          <w:b/>
          <w:bCs/>
          <w:lang w:eastAsia="lv-LV"/>
        </w:rPr>
        <w:t xml:space="preserve">:00 </w:t>
      </w:r>
      <w:r w:rsidRPr="00334F94">
        <w:rPr>
          <w:rFonts w:ascii="Times New Roman" w:eastAsia="Times New Roman" w:hAnsi="Times New Roman"/>
          <w:b/>
          <w:bCs/>
          <w:lang w:eastAsia="lv-LV"/>
        </w:rPr>
        <w:t>iesniedza piedāvājumus: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818"/>
        <w:gridCol w:w="2551"/>
        <w:gridCol w:w="2694"/>
      </w:tblGrid>
      <w:tr w:rsidR="007F58B2" w:rsidRPr="000B0039" w:rsidTr="009A7901">
        <w:trPr>
          <w:trHeight w:val="325"/>
        </w:trPr>
        <w:tc>
          <w:tcPr>
            <w:tcW w:w="976" w:type="dxa"/>
            <w:tcBorders>
              <w:top w:val="single" w:sz="4" w:space="0" w:color="auto"/>
              <w:left w:val="single" w:sz="4" w:space="0" w:color="auto"/>
              <w:bottom w:val="single" w:sz="4" w:space="0" w:color="auto"/>
              <w:right w:val="single" w:sz="4" w:space="0" w:color="auto"/>
            </w:tcBorders>
            <w:hideMark/>
          </w:tcPr>
          <w:p w:rsidR="007F58B2" w:rsidRPr="007F58B2" w:rsidRDefault="007F58B2" w:rsidP="009A7901">
            <w:pPr>
              <w:spacing w:line="256" w:lineRule="auto"/>
              <w:jc w:val="center"/>
              <w:outlineLvl w:val="0"/>
              <w:rPr>
                <w:rFonts w:ascii="Times New Roman" w:hAnsi="Times New Roman"/>
                <w:b/>
              </w:rPr>
            </w:pPr>
            <w:proofErr w:type="spellStart"/>
            <w:r w:rsidRPr="007F58B2">
              <w:rPr>
                <w:rFonts w:ascii="Times New Roman" w:hAnsi="Times New Roman"/>
                <w:b/>
              </w:rPr>
              <w:t>Nr.p.k</w:t>
            </w:r>
            <w:proofErr w:type="spellEnd"/>
            <w:r w:rsidRPr="007F58B2">
              <w:rPr>
                <w:rFonts w:ascii="Times New Roman" w:hAnsi="Times New Roman"/>
                <w:b/>
              </w:rPr>
              <w:t>.</w:t>
            </w:r>
          </w:p>
        </w:tc>
        <w:tc>
          <w:tcPr>
            <w:tcW w:w="2818" w:type="dxa"/>
            <w:tcBorders>
              <w:top w:val="single" w:sz="4" w:space="0" w:color="auto"/>
              <w:left w:val="single" w:sz="4" w:space="0" w:color="auto"/>
              <w:bottom w:val="single" w:sz="4" w:space="0" w:color="auto"/>
              <w:right w:val="single" w:sz="4" w:space="0" w:color="auto"/>
            </w:tcBorders>
            <w:hideMark/>
          </w:tcPr>
          <w:p w:rsidR="007F58B2" w:rsidRPr="007F58B2" w:rsidRDefault="007F58B2" w:rsidP="009A7901">
            <w:pPr>
              <w:pStyle w:val="BodyText"/>
              <w:spacing w:line="256" w:lineRule="auto"/>
              <w:jc w:val="center"/>
              <w:rPr>
                <w:b/>
                <w:szCs w:val="24"/>
              </w:rPr>
            </w:pPr>
            <w:r w:rsidRPr="007F58B2">
              <w:rPr>
                <w:b/>
                <w:szCs w:val="24"/>
              </w:rPr>
              <w:t>Pretendents</w:t>
            </w:r>
          </w:p>
          <w:p w:rsidR="007F58B2" w:rsidRPr="007F58B2" w:rsidRDefault="007F58B2" w:rsidP="009A7901">
            <w:pPr>
              <w:pStyle w:val="BodyText"/>
              <w:spacing w:line="256" w:lineRule="auto"/>
              <w:jc w:val="center"/>
              <w:rPr>
                <w:b/>
                <w:szCs w:val="24"/>
              </w:rPr>
            </w:pPr>
            <w:r w:rsidRPr="007F58B2">
              <w:rPr>
                <w:b/>
                <w:szCs w:val="24"/>
              </w:rPr>
              <w:t>(nosaukums)</w:t>
            </w:r>
          </w:p>
        </w:tc>
        <w:tc>
          <w:tcPr>
            <w:tcW w:w="2551" w:type="dxa"/>
            <w:tcBorders>
              <w:top w:val="single" w:sz="4" w:space="0" w:color="auto"/>
              <w:left w:val="single" w:sz="4" w:space="0" w:color="auto"/>
              <w:bottom w:val="single" w:sz="4" w:space="0" w:color="auto"/>
              <w:right w:val="single" w:sz="4" w:space="0" w:color="auto"/>
            </w:tcBorders>
            <w:hideMark/>
          </w:tcPr>
          <w:p w:rsidR="007F58B2" w:rsidRPr="007F58B2" w:rsidRDefault="007F58B2" w:rsidP="009A7901">
            <w:pPr>
              <w:spacing w:line="256" w:lineRule="auto"/>
              <w:jc w:val="center"/>
              <w:outlineLvl w:val="0"/>
              <w:rPr>
                <w:rFonts w:ascii="Times New Roman" w:hAnsi="Times New Roman"/>
                <w:b/>
                <w:highlight w:val="yellow"/>
              </w:rPr>
            </w:pPr>
            <w:r w:rsidRPr="007F58B2">
              <w:rPr>
                <w:rFonts w:ascii="Times New Roman" w:hAnsi="Times New Roman"/>
                <w:b/>
              </w:rPr>
              <w:t>Piedāvājuma iesniegšanas laiks</w:t>
            </w:r>
          </w:p>
        </w:tc>
        <w:tc>
          <w:tcPr>
            <w:tcW w:w="2694" w:type="dxa"/>
            <w:tcBorders>
              <w:top w:val="single" w:sz="4" w:space="0" w:color="auto"/>
              <w:left w:val="single" w:sz="4" w:space="0" w:color="auto"/>
              <w:bottom w:val="single" w:sz="4" w:space="0" w:color="auto"/>
              <w:right w:val="single" w:sz="4" w:space="0" w:color="auto"/>
            </w:tcBorders>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Piedāvātā cena EUR bez PVN</w:t>
            </w:r>
          </w:p>
        </w:tc>
      </w:tr>
      <w:tr w:rsidR="007F58B2" w:rsidRPr="000B0039" w:rsidTr="009A7901">
        <w:trPr>
          <w:trHeight w:val="325"/>
        </w:trPr>
        <w:tc>
          <w:tcPr>
            <w:tcW w:w="976" w:type="dxa"/>
            <w:tcBorders>
              <w:top w:val="single" w:sz="4" w:space="0" w:color="auto"/>
              <w:left w:val="single" w:sz="4" w:space="0" w:color="auto"/>
              <w:bottom w:val="single" w:sz="4" w:space="0" w:color="auto"/>
              <w:right w:val="single" w:sz="4" w:space="0" w:color="auto"/>
            </w:tcBorders>
            <w:hideMark/>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1.</w:t>
            </w:r>
          </w:p>
        </w:tc>
        <w:tc>
          <w:tcPr>
            <w:tcW w:w="2818" w:type="dxa"/>
            <w:tcBorders>
              <w:top w:val="single" w:sz="4" w:space="0" w:color="auto"/>
              <w:left w:val="single" w:sz="4" w:space="0" w:color="auto"/>
              <w:bottom w:val="single" w:sz="4" w:space="0" w:color="auto"/>
              <w:right w:val="single" w:sz="4" w:space="0" w:color="auto"/>
            </w:tcBorders>
            <w:vAlign w:val="center"/>
            <w:hideMark/>
          </w:tcPr>
          <w:p w:rsidR="007F58B2" w:rsidRPr="007F58B2" w:rsidRDefault="007F58B2" w:rsidP="009A7901">
            <w:pPr>
              <w:pStyle w:val="BodyText"/>
              <w:spacing w:line="256" w:lineRule="auto"/>
              <w:jc w:val="center"/>
              <w:rPr>
                <w:b/>
                <w:szCs w:val="24"/>
              </w:rPr>
            </w:pPr>
            <w:r w:rsidRPr="007F58B2">
              <w:rPr>
                <w:b/>
              </w:rPr>
              <w:t>SIA “IGLOO”</w:t>
            </w:r>
          </w:p>
        </w:tc>
        <w:tc>
          <w:tcPr>
            <w:tcW w:w="2551" w:type="dxa"/>
            <w:tcBorders>
              <w:top w:val="single" w:sz="4" w:space="0" w:color="auto"/>
              <w:left w:val="single" w:sz="4" w:space="0" w:color="auto"/>
              <w:bottom w:val="single" w:sz="4" w:space="0" w:color="auto"/>
              <w:right w:val="single" w:sz="4" w:space="0" w:color="auto"/>
            </w:tcBorders>
            <w:vAlign w:val="center"/>
            <w:hideMark/>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11.07.2017.</w:t>
            </w:r>
          </w:p>
          <w:p w:rsidR="007F58B2" w:rsidRPr="007F58B2" w:rsidRDefault="007F58B2" w:rsidP="009A7901">
            <w:pPr>
              <w:spacing w:line="256" w:lineRule="auto"/>
              <w:jc w:val="center"/>
              <w:outlineLvl w:val="0"/>
              <w:rPr>
                <w:rFonts w:ascii="Times New Roman" w:hAnsi="Times New Roman"/>
              </w:rPr>
            </w:pPr>
            <w:r w:rsidRPr="007F58B2">
              <w:rPr>
                <w:rFonts w:ascii="Times New Roman" w:hAnsi="Times New Roman"/>
                <w:b/>
              </w:rPr>
              <w:t>plkst. 09:00</w:t>
            </w:r>
          </w:p>
        </w:tc>
        <w:tc>
          <w:tcPr>
            <w:tcW w:w="2694" w:type="dxa"/>
            <w:tcBorders>
              <w:top w:val="single" w:sz="4" w:space="0" w:color="auto"/>
              <w:left w:val="single" w:sz="4" w:space="0" w:color="auto"/>
              <w:bottom w:val="single" w:sz="4" w:space="0" w:color="auto"/>
              <w:right w:val="single" w:sz="4" w:space="0" w:color="auto"/>
            </w:tcBorders>
            <w:vAlign w:val="center"/>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22050,00</w:t>
            </w:r>
          </w:p>
        </w:tc>
      </w:tr>
      <w:tr w:rsidR="007F58B2" w:rsidRPr="000B0039" w:rsidTr="009A7901">
        <w:trPr>
          <w:trHeight w:val="325"/>
        </w:trPr>
        <w:tc>
          <w:tcPr>
            <w:tcW w:w="976" w:type="dxa"/>
            <w:tcBorders>
              <w:top w:val="single" w:sz="4" w:space="0" w:color="auto"/>
              <w:left w:val="single" w:sz="4" w:space="0" w:color="auto"/>
              <w:bottom w:val="single" w:sz="4" w:space="0" w:color="auto"/>
              <w:right w:val="single" w:sz="4" w:space="0" w:color="auto"/>
            </w:tcBorders>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2.</w:t>
            </w:r>
          </w:p>
        </w:tc>
        <w:tc>
          <w:tcPr>
            <w:tcW w:w="2818" w:type="dxa"/>
            <w:tcBorders>
              <w:top w:val="single" w:sz="4" w:space="0" w:color="auto"/>
              <w:left w:val="single" w:sz="4" w:space="0" w:color="auto"/>
              <w:bottom w:val="single" w:sz="4" w:space="0" w:color="auto"/>
              <w:right w:val="single" w:sz="4" w:space="0" w:color="auto"/>
            </w:tcBorders>
            <w:vAlign w:val="center"/>
          </w:tcPr>
          <w:p w:rsidR="007F58B2" w:rsidRPr="007F58B2" w:rsidRDefault="007F58B2" w:rsidP="009A7901">
            <w:pPr>
              <w:pStyle w:val="BodyText"/>
              <w:spacing w:line="256" w:lineRule="auto"/>
              <w:jc w:val="center"/>
              <w:rPr>
                <w:b/>
              </w:rPr>
            </w:pPr>
            <w:r w:rsidRPr="007F58B2">
              <w:rPr>
                <w:b/>
              </w:rPr>
              <w:t>SIA “</w:t>
            </w:r>
            <w:proofErr w:type="spellStart"/>
            <w:r w:rsidRPr="007F58B2">
              <w:rPr>
                <w:b/>
              </w:rPr>
              <w:t>Agency</w:t>
            </w:r>
            <w:proofErr w:type="spellEnd"/>
            <w:r w:rsidRPr="007F58B2">
              <w:rPr>
                <w:b/>
              </w:rPr>
              <w:t xml:space="preserve"> B”</w:t>
            </w:r>
          </w:p>
        </w:tc>
        <w:tc>
          <w:tcPr>
            <w:tcW w:w="2551" w:type="dxa"/>
            <w:tcBorders>
              <w:top w:val="single" w:sz="4" w:space="0" w:color="auto"/>
              <w:left w:val="single" w:sz="4" w:space="0" w:color="auto"/>
              <w:bottom w:val="single" w:sz="4" w:space="0" w:color="auto"/>
              <w:right w:val="single" w:sz="4" w:space="0" w:color="auto"/>
            </w:tcBorders>
            <w:vAlign w:val="center"/>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11.07.2017.</w:t>
            </w:r>
          </w:p>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plkst. 09:35</w:t>
            </w:r>
          </w:p>
        </w:tc>
        <w:tc>
          <w:tcPr>
            <w:tcW w:w="2694" w:type="dxa"/>
            <w:tcBorders>
              <w:top w:val="single" w:sz="4" w:space="0" w:color="auto"/>
              <w:left w:val="single" w:sz="4" w:space="0" w:color="auto"/>
              <w:bottom w:val="single" w:sz="4" w:space="0" w:color="auto"/>
              <w:right w:val="single" w:sz="4" w:space="0" w:color="auto"/>
            </w:tcBorders>
            <w:vAlign w:val="center"/>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27600,00</w:t>
            </w:r>
          </w:p>
        </w:tc>
      </w:tr>
      <w:tr w:rsidR="007F58B2" w:rsidRPr="000B0039" w:rsidTr="009A7901">
        <w:trPr>
          <w:trHeight w:val="325"/>
        </w:trPr>
        <w:tc>
          <w:tcPr>
            <w:tcW w:w="976" w:type="dxa"/>
            <w:tcBorders>
              <w:top w:val="single" w:sz="4" w:space="0" w:color="auto"/>
              <w:left w:val="single" w:sz="4" w:space="0" w:color="auto"/>
              <w:bottom w:val="single" w:sz="4" w:space="0" w:color="auto"/>
              <w:right w:val="single" w:sz="4" w:space="0" w:color="auto"/>
            </w:tcBorders>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3.</w:t>
            </w:r>
          </w:p>
        </w:tc>
        <w:tc>
          <w:tcPr>
            <w:tcW w:w="2818" w:type="dxa"/>
            <w:tcBorders>
              <w:top w:val="single" w:sz="4" w:space="0" w:color="auto"/>
              <w:left w:val="single" w:sz="4" w:space="0" w:color="auto"/>
              <w:bottom w:val="single" w:sz="4" w:space="0" w:color="auto"/>
              <w:right w:val="single" w:sz="4" w:space="0" w:color="auto"/>
            </w:tcBorders>
            <w:vAlign w:val="center"/>
          </w:tcPr>
          <w:p w:rsidR="007F58B2" w:rsidRPr="007F58B2" w:rsidRDefault="007F58B2" w:rsidP="009A7901">
            <w:pPr>
              <w:pStyle w:val="BodyText"/>
              <w:spacing w:line="256" w:lineRule="auto"/>
              <w:jc w:val="center"/>
              <w:rPr>
                <w:b/>
              </w:rPr>
            </w:pPr>
            <w:r w:rsidRPr="007F58B2">
              <w:rPr>
                <w:b/>
              </w:rPr>
              <w:t>SIA “STARIS”</w:t>
            </w:r>
          </w:p>
        </w:tc>
        <w:tc>
          <w:tcPr>
            <w:tcW w:w="2551" w:type="dxa"/>
            <w:tcBorders>
              <w:top w:val="single" w:sz="4" w:space="0" w:color="auto"/>
              <w:left w:val="single" w:sz="4" w:space="0" w:color="auto"/>
              <w:bottom w:val="single" w:sz="4" w:space="0" w:color="auto"/>
              <w:right w:val="single" w:sz="4" w:space="0" w:color="auto"/>
            </w:tcBorders>
            <w:vAlign w:val="center"/>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11.07.2017.</w:t>
            </w:r>
          </w:p>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plkst. 10:10</w:t>
            </w:r>
          </w:p>
        </w:tc>
        <w:tc>
          <w:tcPr>
            <w:tcW w:w="2694" w:type="dxa"/>
            <w:tcBorders>
              <w:top w:val="single" w:sz="4" w:space="0" w:color="auto"/>
              <w:left w:val="single" w:sz="4" w:space="0" w:color="auto"/>
              <w:bottom w:val="single" w:sz="4" w:space="0" w:color="auto"/>
              <w:right w:val="single" w:sz="4" w:space="0" w:color="auto"/>
            </w:tcBorders>
            <w:vAlign w:val="center"/>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21600,00</w:t>
            </w:r>
          </w:p>
        </w:tc>
      </w:tr>
      <w:tr w:rsidR="007F58B2" w:rsidRPr="000B0039" w:rsidTr="009A7901">
        <w:trPr>
          <w:trHeight w:val="325"/>
        </w:trPr>
        <w:tc>
          <w:tcPr>
            <w:tcW w:w="976" w:type="dxa"/>
            <w:tcBorders>
              <w:top w:val="single" w:sz="4" w:space="0" w:color="auto"/>
              <w:left w:val="single" w:sz="4" w:space="0" w:color="auto"/>
              <w:bottom w:val="single" w:sz="4" w:space="0" w:color="auto"/>
              <w:right w:val="single" w:sz="4" w:space="0" w:color="auto"/>
            </w:tcBorders>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4.</w:t>
            </w:r>
          </w:p>
        </w:tc>
        <w:tc>
          <w:tcPr>
            <w:tcW w:w="2818" w:type="dxa"/>
            <w:tcBorders>
              <w:top w:val="single" w:sz="4" w:space="0" w:color="auto"/>
              <w:left w:val="single" w:sz="4" w:space="0" w:color="auto"/>
              <w:bottom w:val="single" w:sz="4" w:space="0" w:color="auto"/>
              <w:right w:val="single" w:sz="4" w:space="0" w:color="auto"/>
            </w:tcBorders>
            <w:vAlign w:val="center"/>
          </w:tcPr>
          <w:p w:rsidR="007F58B2" w:rsidRPr="007F58B2" w:rsidRDefault="007F58B2" w:rsidP="009A7901">
            <w:pPr>
              <w:pStyle w:val="BodyText"/>
              <w:spacing w:line="256" w:lineRule="auto"/>
              <w:jc w:val="center"/>
              <w:rPr>
                <w:b/>
              </w:rPr>
            </w:pPr>
            <w:r w:rsidRPr="007F58B2">
              <w:rPr>
                <w:b/>
              </w:rPr>
              <w:t>SIA “</w:t>
            </w:r>
            <w:proofErr w:type="spellStart"/>
            <w:r w:rsidRPr="007F58B2">
              <w:rPr>
                <w:b/>
              </w:rPr>
              <w:t>You</w:t>
            </w:r>
            <w:proofErr w:type="spellEnd"/>
            <w:r w:rsidRPr="007F58B2">
              <w:rPr>
                <w:b/>
              </w:rPr>
              <w:t xml:space="preserve"> Made </w:t>
            </w:r>
            <w:proofErr w:type="spellStart"/>
            <w:r w:rsidRPr="007F58B2">
              <w:rPr>
                <w:b/>
              </w:rPr>
              <w:t>My</w:t>
            </w:r>
            <w:proofErr w:type="spellEnd"/>
            <w:r w:rsidRPr="007F58B2">
              <w:rPr>
                <w:b/>
              </w:rPr>
              <w:t xml:space="preserve"> </w:t>
            </w:r>
            <w:proofErr w:type="spellStart"/>
            <w:r w:rsidRPr="007F58B2">
              <w:rPr>
                <w:b/>
              </w:rPr>
              <w:t>Day</w:t>
            </w:r>
            <w:proofErr w:type="spellEnd"/>
            <w:r w:rsidRPr="007F58B2">
              <w:rPr>
                <w:b/>
              </w:rPr>
              <w:t>”</w:t>
            </w:r>
          </w:p>
        </w:tc>
        <w:tc>
          <w:tcPr>
            <w:tcW w:w="2551" w:type="dxa"/>
            <w:tcBorders>
              <w:top w:val="single" w:sz="4" w:space="0" w:color="auto"/>
              <w:left w:val="single" w:sz="4" w:space="0" w:color="auto"/>
              <w:bottom w:val="single" w:sz="4" w:space="0" w:color="auto"/>
              <w:right w:val="single" w:sz="4" w:space="0" w:color="auto"/>
            </w:tcBorders>
            <w:vAlign w:val="center"/>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11.07.2017.</w:t>
            </w:r>
          </w:p>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plkst. 10:55</w:t>
            </w:r>
          </w:p>
        </w:tc>
        <w:tc>
          <w:tcPr>
            <w:tcW w:w="2694" w:type="dxa"/>
            <w:tcBorders>
              <w:top w:val="single" w:sz="4" w:space="0" w:color="auto"/>
              <w:left w:val="single" w:sz="4" w:space="0" w:color="auto"/>
              <w:bottom w:val="single" w:sz="4" w:space="0" w:color="auto"/>
              <w:right w:val="single" w:sz="4" w:space="0" w:color="auto"/>
            </w:tcBorders>
            <w:vAlign w:val="center"/>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23000,00</w:t>
            </w:r>
          </w:p>
        </w:tc>
      </w:tr>
      <w:tr w:rsidR="007F58B2" w:rsidRPr="000B0039" w:rsidTr="009A7901">
        <w:trPr>
          <w:trHeight w:val="325"/>
        </w:trPr>
        <w:tc>
          <w:tcPr>
            <w:tcW w:w="976" w:type="dxa"/>
            <w:tcBorders>
              <w:top w:val="single" w:sz="4" w:space="0" w:color="auto"/>
              <w:left w:val="single" w:sz="4" w:space="0" w:color="auto"/>
              <w:bottom w:val="single" w:sz="4" w:space="0" w:color="auto"/>
              <w:right w:val="single" w:sz="4" w:space="0" w:color="auto"/>
            </w:tcBorders>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5.</w:t>
            </w:r>
          </w:p>
        </w:tc>
        <w:tc>
          <w:tcPr>
            <w:tcW w:w="2818" w:type="dxa"/>
            <w:tcBorders>
              <w:top w:val="single" w:sz="4" w:space="0" w:color="auto"/>
              <w:left w:val="single" w:sz="4" w:space="0" w:color="auto"/>
              <w:bottom w:val="single" w:sz="4" w:space="0" w:color="auto"/>
              <w:right w:val="single" w:sz="4" w:space="0" w:color="auto"/>
            </w:tcBorders>
            <w:vAlign w:val="center"/>
          </w:tcPr>
          <w:p w:rsidR="007F58B2" w:rsidRPr="007F58B2" w:rsidRDefault="007F58B2" w:rsidP="009A7901">
            <w:pPr>
              <w:pStyle w:val="BodyText"/>
              <w:spacing w:line="256" w:lineRule="auto"/>
              <w:jc w:val="center"/>
              <w:rPr>
                <w:b/>
              </w:rPr>
            </w:pPr>
            <w:r w:rsidRPr="007F58B2">
              <w:rPr>
                <w:b/>
              </w:rPr>
              <w:t>SIA “DEXT”</w:t>
            </w:r>
          </w:p>
        </w:tc>
        <w:tc>
          <w:tcPr>
            <w:tcW w:w="2551" w:type="dxa"/>
            <w:tcBorders>
              <w:top w:val="single" w:sz="4" w:space="0" w:color="auto"/>
              <w:left w:val="single" w:sz="4" w:space="0" w:color="auto"/>
              <w:bottom w:val="single" w:sz="4" w:space="0" w:color="auto"/>
              <w:right w:val="single" w:sz="4" w:space="0" w:color="auto"/>
            </w:tcBorders>
            <w:vAlign w:val="center"/>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11.07.2017.</w:t>
            </w:r>
          </w:p>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plkst. 10:59</w:t>
            </w:r>
          </w:p>
        </w:tc>
        <w:tc>
          <w:tcPr>
            <w:tcW w:w="2694" w:type="dxa"/>
            <w:tcBorders>
              <w:top w:val="single" w:sz="4" w:space="0" w:color="auto"/>
              <w:left w:val="single" w:sz="4" w:space="0" w:color="auto"/>
              <w:bottom w:val="single" w:sz="4" w:space="0" w:color="auto"/>
              <w:right w:val="single" w:sz="4" w:space="0" w:color="auto"/>
            </w:tcBorders>
            <w:vAlign w:val="center"/>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26000,00</w:t>
            </w:r>
          </w:p>
        </w:tc>
      </w:tr>
      <w:tr w:rsidR="007F58B2" w:rsidRPr="000B0039" w:rsidTr="009A7901">
        <w:trPr>
          <w:trHeight w:val="325"/>
        </w:trPr>
        <w:tc>
          <w:tcPr>
            <w:tcW w:w="976" w:type="dxa"/>
            <w:tcBorders>
              <w:top w:val="single" w:sz="4" w:space="0" w:color="auto"/>
              <w:left w:val="single" w:sz="4" w:space="0" w:color="auto"/>
              <w:bottom w:val="single" w:sz="4" w:space="0" w:color="auto"/>
              <w:right w:val="single" w:sz="4" w:space="0" w:color="auto"/>
            </w:tcBorders>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lastRenderedPageBreak/>
              <w:t>6.</w:t>
            </w:r>
          </w:p>
        </w:tc>
        <w:tc>
          <w:tcPr>
            <w:tcW w:w="2818" w:type="dxa"/>
            <w:tcBorders>
              <w:top w:val="single" w:sz="4" w:space="0" w:color="auto"/>
              <w:left w:val="single" w:sz="4" w:space="0" w:color="auto"/>
              <w:bottom w:val="single" w:sz="4" w:space="0" w:color="auto"/>
              <w:right w:val="single" w:sz="4" w:space="0" w:color="auto"/>
            </w:tcBorders>
            <w:vAlign w:val="center"/>
          </w:tcPr>
          <w:p w:rsidR="007F58B2" w:rsidRPr="007F58B2" w:rsidRDefault="007F58B2" w:rsidP="009A7901">
            <w:pPr>
              <w:pStyle w:val="BodyText"/>
              <w:spacing w:line="256" w:lineRule="auto"/>
              <w:jc w:val="center"/>
              <w:rPr>
                <w:b/>
              </w:rPr>
            </w:pPr>
            <w:r w:rsidRPr="007F58B2">
              <w:rPr>
                <w:b/>
              </w:rPr>
              <w:t>SIA “DUE”</w:t>
            </w:r>
          </w:p>
        </w:tc>
        <w:tc>
          <w:tcPr>
            <w:tcW w:w="2551" w:type="dxa"/>
            <w:tcBorders>
              <w:top w:val="single" w:sz="4" w:space="0" w:color="auto"/>
              <w:left w:val="single" w:sz="4" w:space="0" w:color="auto"/>
              <w:bottom w:val="single" w:sz="4" w:space="0" w:color="auto"/>
              <w:right w:val="single" w:sz="4" w:space="0" w:color="auto"/>
            </w:tcBorders>
            <w:vAlign w:val="center"/>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11.07.2017.</w:t>
            </w:r>
          </w:p>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plkst. 10:59</w:t>
            </w:r>
          </w:p>
        </w:tc>
        <w:tc>
          <w:tcPr>
            <w:tcW w:w="2694" w:type="dxa"/>
            <w:tcBorders>
              <w:top w:val="single" w:sz="4" w:space="0" w:color="auto"/>
              <w:left w:val="single" w:sz="4" w:space="0" w:color="auto"/>
              <w:bottom w:val="single" w:sz="4" w:space="0" w:color="auto"/>
              <w:right w:val="single" w:sz="4" w:space="0" w:color="auto"/>
            </w:tcBorders>
            <w:vAlign w:val="center"/>
          </w:tcPr>
          <w:p w:rsidR="007F58B2" w:rsidRPr="007F58B2" w:rsidRDefault="007F58B2" w:rsidP="009A7901">
            <w:pPr>
              <w:spacing w:line="256" w:lineRule="auto"/>
              <w:jc w:val="center"/>
              <w:outlineLvl w:val="0"/>
              <w:rPr>
                <w:rFonts w:ascii="Times New Roman" w:hAnsi="Times New Roman"/>
                <w:b/>
              </w:rPr>
            </w:pPr>
            <w:r w:rsidRPr="007F58B2">
              <w:rPr>
                <w:rFonts w:ascii="Times New Roman" w:hAnsi="Times New Roman"/>
                <w:b/>
              </w:rPr>
              <w:t>8950,00</w:t>
            </w:r>
          </w:p>
        </w:tc>
      </w:tr>
    </w:tbl>
    <w:p w:rsidR="007F58B2" w:rsidRPr="00FA4933" w:rsidRDefault="007F58B2" w:rsidP="007F58B2">
      <w:pPr>
        <w:pStyle w:val="ListParagraph"/>
        <w:spacing w:after="120" w:line="276" w:lineRule="auto"/>
        <w:ind w:left="357"/>
        <w:jc w:val="both"/>
        <w:rPr>
          <w:rFonts w:ascii="Times New Roman" w:eastAsia="Times New Roman" w:hAnsi="Times New Roman"/>
          <w:bCs/>
          <w:lang w:eastAsia="lv-LV"/>
        </w:rPr>
      </w:pPr>
    </w:p>
    <w:p w:rsidR="00501D73" w:rsidRPr="00F31FD2" w:rsidRDefault="0029123B" w:rsidP="007628EF">
      <w:pPr>
        <w:pStyle w:val="ListParagraph"/>
        <w:numPr>
          <w:ilvl w:val="0"/>
          <w:numId w:val="3"/>
        </w:numPr>
        <w:spacing w:before="200" w:after="120" w:line="276" w:lineRule="auto"/>
        <w:ind w:left="357" w:hanging="357"/>
        <w:jc w:val="both"/>
        <w:rPr>
          <w:rFonts w:ascii="Times New Roman" w:eastAsia="Times New Roman" w:hAnsi="Times New Roman"/>
          <w:bCs/>
          <w:lang w:eastAsia="lv-LV"/>
        </w:rPr>
      </w:pPr>
      <w:r>
        <w:rPr>
          <w:rFonts w:ascii="Times New Roman" w:eastAsia="Times New Roman" w:hAnsi="Times New Roman"/>
          <w:b/>
          <w:bCs/>
          <w:lang w:eastAsia="lv-LV"/>
        </w:rPr>
        <w:t>Piedāvājumu atbilstība n</w:t>
      </w:r>
      <w:r w:rsidR="003326E9" w:rsidRPr="00F31FD2">
        <w:rPr>
          <w:rFonts w:ascii="Times New Roman" w:eastAsia="Times New Roman" w:hAnsi="Times New Roman"/>
          <w:b/>
          <w:bCs/>
          <w:lang w:eastAsia="lv-LV"/>
        </w:rPr>
        <w:t>olikumā noteiktajām prasībām</w:t>
      </w:r>
      <w:r w:rsidR="002466F7" w:rsidRPr="00F31FD2">
        <w:rPr>
          <w:rFonts w:ascii="Times New Roman" w:eastAsia="Times New Roman" w:hAnsi="Times New Roman"/>
          <w:b/>
          <w:bCs/>
          <w:lang w:eastAsia="lv-LV"/>
        </w:rPr>
        <w:t xml:space="preserve"> un kritērijiem</w:t>
      </w:r>
      <w:r w:rsidR="003326E9" w:rsidRPr="00F31FD2">
        <w:rPr>
          <w:rFonts w:ascii="Times New Roman" w:eastAsia="Times New Roman" w:hAnsi="Times New Roman"/>
          <w:b/>
          <w:bCs/>
          <w:lang w:eastAsia="lv-LV"/>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103"/>
        <w:gridCol w:w="2977"/>
      </w:tblGrid>
      <w:tr w:rsidR="00557DBF" w:rsidRPr="00F31FD2" w:rsidTr="00A06ABD">
        <w:trPr>
          <w:trHeight w:val="246"/>
        </w:trPr>
        <w:tc>
          <w:tcPr>
            <w:tcW w:w="1134" w:type="dxa"/>
            <w:tcBorders>
              <w:top w:val="single" w:sz="4" w:space="0" w:color="auto"/>
              <w:left w:val="single" w:sz="4" w:space="0" w:color="auto"/>
              <w:bottom w:val="single" w:sz="4" w:space="0" w:color="auto"/>
              <w:right w:val="single" w:sz="4" w:space="0" w:color="auto"/>
            </w:tcBorders>
            <w:vAlign w:val="center"/>
          </w:tcPr>
          <w:p w:rsidR="00557DBF" w:rsidRPr="00F31FD2" w:rsidRDefault="00557DBF" w:rsidP="00334F94">
            <w:pPr>
              <w:outlineLvl w:val="0"/>
              <w:rPr>
                <w:rFonts w:ascii="Times New Roman" w:hAnsi="Times New Roman"/>
                <w:b/>
              </w:rPr>
            </w:pPr>
            <w:r w:rsidRPr="00F31FD2">
              <w:rPr>
                <w:rFonts w:ascii="Times New Roman" w:hAnsi="Times New Roman"/>
                <w:b/>
              </w:rPr>
              <w:t>Nr.</w:t>
            </w:r>
            <w:r w:rsidR="00DC658E" w:rsidRPr="00F31FD2">
              <w:rPr>
                <w:rFonts w:ascii="Times New Roman" w:hAnsi="Times New Roman"/>
                <w:b/>
              </w:rPr>
              <w:t> </w:t>
            </w:r>
            <w:r w:rsidRPr="00F31FD2">
              <w:rPr>
                <w:rFonts w:ascii="Times New Roman" w:hAnsi="Times New Roman"/>
                <w:b/>
              </w:rPr>
              <w:t>p.k.</w:t>
            </w:r>
          </w:p>
        </w:tc>
        <w:tc>
          <w:tcPr>
            <w:tcW w:w="5103" w:type="dxa"/>
            <w:tcBorders>
              <w:top w:val="single" w:sz="4" w:space="0" w:color="auto"/>
              <w:left w:val="single" w:sz="4" w:space="0" w:color="auto"/>
              <w:bottom w:val="single" w:sz="4" w:space="0" w:color="auto"/>
              <w:right w:val="single" w:sz="4" w:space="0" w:color="auto"/>
            </w:tcBorders>
          </w:tcPr>
          <w:p w:rsidR="00557DBF" w:rsidRPr="00F31FD2" w:rsidRDefault="00557DBF" w:rsidP="0040143D">
            <w:pPr>
              <w:pStyle w:val="BodyText"/>
              <w:jc w:val="center"/>
              <w:rPr>
                <w:b/>
                <w:szCs w:val="24"/>
              </w:rPr>
            </w:pPr>
            <w:r w:rsidRPr="00F31FD2">
              <w:rPr>
                <w:b/>
                <w:szCs w:val="24"/>
              </w:rPr>
              <w:t xml:space="preserve">Pretendenti </w:t>
            </w:r>
          </w:p>
          <w:p w:rsidR="00557DBF" w:rsidRPr="00F31FD2" w:rsidRDefault="00557DBF" w:rsidP="0040143D">
            <w:pPr>
              <w:pStyle w:val="BodyText"/>
              <w:jc w:val="center"/>
              <w:rPr>
                <w:b/>
                <w:szCs w:val="24"/>
              </w:rPr>
            </w:pPr>
            <w:r w:rsidRPr="00F31FD2">
              <w:rPr>
                <w:b/>
                <w:szCs w:val="24"/>
              </w:rPr>
              <w:t>(nosaukums)</w:t>
            </w:r>
          </w:p>
        </w:tc>
        <w:tc>
          <w:tcPr>
            <w:tcW w:w="2977" w:type="dxa"/>
            <w:tcBorders>
              <w:top w:val="single" w:sz="4" w:space="0" w:color="auto"/>
              <w:left w:val="single" w:sz="4" w:space="0" w:color="auto"/>
              <w:bottom w:val="single" w:sz="4" w:space="0" w:color="auto"/>
              <w:right w:val="single" w:sz="4" w:space="0" w:color="auto"/>
            </w:tcBorders>
            <w:vAlign w:val="center"/>
          </w:tcPr>
          <w:p w:rsidR="00557DBF" w:rsidRPr="00F31FD2" w:rsidRDefault="00557DBF" w:rsidP="00334F94">
            <w:pPr>
              <w:spacing w:line="276" w:lineRule="auto"/>
              <w:jc w:val="center"/>
              <w:rPr>
                <w:rFonts w:ascii="Times New Roman" w:hAnsi="Times New Roman"/>
                <w:b/>
                <w:u w:val="single"/>
              </w:rPr>
            </w:pPr>
          </w:p>
          <w:p w:rsidR="00557DBF" w:rsidRPr="00F31FD2" w:rsidRDefault="00557DBF" w:rsidP="00334F94">
            <w:pPr>
              <w:spacing w:line="276" w:lineRule="auto"/>
              <w:jc w:val="center"/>
              <w:rPr>
                <w:rFonts w:ascii="Times New Roman" w:hAnsi="Times New Roman"/>
                <w:b/>
                <w:u w:val="single"/>
              </w:rPr>
            </w:pPr>
            <w:r w:rsidRPr="00F31FD2">
              <w:rPr>
                <w:rFonts w:ascii="Times New Roman" w:hAnsi="Times New Roman"/>
                <w:b/>
                <w:u w:val="single"/>
              </w:rPr>
              <w:t>atbilst vai neatbilst</w:t>
            </w:r>
          </w:p>
        </w:tc>
      </w:tr>
      <w:tr w:rsidR="00557DBF" w:rsidRPr="00F31FD2" w:rsidTr="00A06ABD">
        <w:trPr>
          <w:trHeight w:val="246"/>
        </w:trPr>
        <w:tc>
          <w:tcPr>
            <w:tcW w:w="1134" w:type="dxa"/>
            <w:tcBorders>
              <w:top w:val="single" w:sz="4" w:space="0" w:color="auto"/>
              <w:left w:val="single" w:sz="4" w:space="0" w:color="auto"/>
              <w:bottom w:val="single" w:sz="4" w:space="0" w:color="auto"/>
              <w:right w:val="single" w:sz="4" w:space="0" w:color="auto"/>
            </w:tcBorders>
            <w:vAlign w:val="center"/>
          </w:tcPr>
          <w:p w:rsidR="00557DBF" w:rsidRPr="00F31FD2" w:rsidRDefault="00557DBF" w:rsidP="0040143D">
            <w:pPr>
              <w:jc w:val="center"/>
              <w:outlineLvl w:val="0"/>
              <w:rPr>
                <w:rFonts w:ascii="Times New Roman" w:hAnsi="Times New Roman"/>
                <w:b/>
              </w:rPr>
            </w:pPr>
            <w:r w:rsidRPr="00F31FD2">
              <w:rPr>
                <w:rFonts w:ascii="Times New Roman" w:hAnsi="Times New Roman"/>
                <w:b/>
              </w:rPr>
              <w:t>1.</w:t>
            </w:r>
          </w:p>
        </w:tc>
        <w:tc>
          <w:tcPr>
            <w:tcW w:w="5103" w:type="dxa"/>
            <w:tcBorders>
              <w:top w:val="single" w:sz="4" w:space="0" w:color="auto"/>
              <w:left w:val="single" w:sz="4" w:space="0" w:color="auto"/>
              <w:bottom w:val="single" w:sz="4" w:space="0" w:color="auto"/>
              <w:right w:val="single" w:sz="4" w:space="0" w:color="auto"/>
            </w:tcBorders>
          </w:tcPr>
          <w:p w:rsidR="00557DBF" w:rsidRPr="00F31FD2" w:rsidRDefault="007F58B2" w:rsidP="00E9659C">
            <w:pPr>
              <w:pStyle w:val="BodyText"/>
              <w:jc w:val="center"/>
              <w:rPr>
                <w:b/>
                <w:szCs w:val="24"/>
              </w:rPr>
            </w:pPr>
            <w:r w:rsidRPr="007F58B2">
              <w:rPr>
                <w:b/>
              </w:rPr>
              <w:t>SIA “IGLOO”</w:t>
            </w:r>
          </w:p>
        </w:tc>
        <w:tc>
          <w:tcPr>
            <w:tcW w:w="2977" w:type="dxa"/>
            <w:tcBorders>
              <w:top w:val="single" w:sz="4" w:space="0" w:color="auto"/>
              <w:left w:val="single" w:sz="4" w:space="0" w:color="auto"/>
              <w:bottom w:val="single" w:sz="4" w:space="0" w:color="auto"/>
              <w:right w:val="single" w:sz="4" w:space="0" w:color="auto"/>
            </w:tcBorders>
            <w:vAlign w:val="center"/>
          </w:tcPr>
          <w:p w:rsidR="00557DBF" w:rsidRPr="00F31FD2" w:rsidRDefault="00A625DF" w:rsidP="00334F94">
            <w:pPr>
              <w:jc w:val="center"/>
              <w:outlineLvl w:val="0"/>
              <w:rPr>
                <w:rFonts w:ascii="Times New Roman" w:hAnsi="Times New Roman"/>
                <w:b/>
              </w:rPr>
            </w:pPr>
            <w:r w:rsidRPr="00F31FD2">
              <w:rPr>
                <w:rFonts w:ascii="Times New Roman" w:hAnsi="Times New Roman"/>
                <w:b/>
              </w:rPr>
              <w:t>atbilst</w:t>
            </w:r>
          </w:p>
        </w:tc>
      </w:tr>
      <w:tr w:rsidR="00EF4CAE" w:rsidRPr="00F31FD2" w:rsidTr="00A06ABD">
        <w:trPr>
          <w:trHeight w:val="246"/>
        </w:trPr>
        <w:tc>
          <w:tcPr>
            <w:tcW w:w="1134" w:type="dxa"/>
            <w:tcBorders>
              <w:top w:val="single" w:sz="4" w:space="0" w:color="auto"/>
              <w:left w:val="single" w:sz="4" w:space="0" w:color="auto"/>
              <w:bottom w:val="single" w:sz="4" w:space="0" w:color="auto"/>
              <w:right w:val="single" w:sz="4" w:space="0" w:color="auto"/>
            </w:tcBorders>
            <w:vAlign w:val="center"/>
          </w:tcPr>
          <w:p w:rsidR="00EF4CAE" w:rsidRPr="00F31FD2" w:rsidRDefault="00EF4CAE" w:rsidP="0040143D">
            <w:pPr>
              <w:jc w:val="center"/>
              <w:outlineLvl w:val="0"/>
              <w:rPr>
                <w:rFonts w:ascii="Times New Roman" w:hAnsi="Times New Roman"/>
                <w:b/>
              </w:rPr>
            </w:pPr>
            <w:r>
              <w:rPr>
                <w:rFonts w:ascii="Times New Roman" w:hAnsi="Times New Roman"/>
                <w:b/>
              </w:rPr>
              <w:t>2.</w:t>
            </w:r>
          </w:p>
        </w:tc>
        <w:tc>
          <w:tcPr>
            <w:tcW w:w="5103" w:type="dxa"/>
            <w:tcBorders>
              <w:top w:val="single" w:sz="4" w:space="0" w:color="auto"/>
              <w:left w:val="single" w:sz="4" w:space="0" w:color="auto"/>
              <w:bottom w:val="single" w:sz="4" w:space="0" w:color="auto"/>
              <w:right w:val="single" w:sz="4" w:space="0" w:color="auto"/>
            </w:tcBorders>
          </w:tcPr>
          <w:p w:rsidR="00EF4CAE" w:rsidRPr="00EF4CAE" w:rsidRDefault="007F58B2" w:rsidP="00E9659C">
            <w:pPr>
              <w:spacing w:line="256" w:lineRule="auto"/>
              <w:jc w:val="center"/>
              <w:rPr>
                <w:rFonts w:ascii="Times New Roman" w:hAnsi="Times New Roman"/>
                <w:b/>
              </w:rPr>
            </w:pPr>
            <w:r w:rsidRPr="007F58B2">
              <w:rPr>
                <w:rFonts w:ascii="Times New Roman" w:hAnsi="Times New Roman"/>
                <w:b/>
              </w:rPr>
              <w:t>SIA “</w:t>
            </w:r>
            <w:proofErr w:type="spellStart"/>
            <w:r w:rsidRPr="007F58B2">
              <w:rPr>
                <w:rFonts w:ascii="Times New Roman" w:hAnsi="Times New Roman"/>
                <w:b/>
              </w:rPr>
              <w:t>Agency</w:t>
            </w:r>
            <w:proofErr w:type="spellEnd"/>
            <w:r w:rsidRPr="007F58B2">
              <w:rPr>
                <w:rFonts w:ascii="Times New Roman" w:hAnsi="Times New Roman"/>
                <w:b/>
              </w:rPr>
              <w:t xml:space="preserve"> B”</w:t>
            </w:r>
          </w:p>
        </w:tc>
        <w:tc>
          <w:tcPr>
            <w:tcW w:w="2977" w:type="dxa"/>
            <w:tcBorders>
              <w:top w:val="single" w:sz="4" w:space="0" w:color="auto"/>
              <w:left w:val="single" w:sz="4" w:space="0" w:color="auto"/>
              <w:bottom w:val="single" w:sz="4" w:space="0" w:color="auto"/>
              <w:right w:val="single" w:sz="4" w:space="0" w:color="auto"/>
            </w:tcBorders>
            <w:vAlign w:val="center"/>
          </w:tcPr>
          <w:p w:rsidR="00EF4CAE" w:rsidRPr="00F31FD2" w:rsidRDefault="00EF4CAE" w:rsidP="00334F94">
            <w:pPr>
              <w:jc w:val="center"/>
              <w:outlineLvl w:val="0"/>
              <w:rPr>
                <w:rFonts w:ascii="Times New Roman" w:hAnsi="Times New Roman"/>
                <w:b/>
              </w:rPr>
            </w:pPr>
            <w:r>
              <w:rPr>
                <w:rFonts w:ascii="Times New Roman" w:hAnsi="Times New Roman"/>
                <w:b/>
              </w:rPr>
              <w:t>atbilst</w:t>
            </w:r>
          </w:p>
        </w:tc>
      </w:tr>
      <w:tr w:rsidR="00A06ABD" w:rsidRPr="00F31FD2" w:rsidTr="00A06ABD">
        <w:trPr>
          <w:trHeight w:val="246"/>
        </w:trPr>
        <w:tc>
          <w:tcPr>
            <w:tcW w:w="1134" w:type="dxa"/>
            <w:tcBorders>
              <w:top w:val="single" w:sz="4" w:space="0" w:color="auto"/>
              <w:left w:val="single" w:sz="4" w:space="0" w:color="auto"/>
              <w:bottom w:val="single" w:sz="4" w:space="0" w:color="auto"/>
              <w:right w:val="single" w:sz="4" w:space="0" w:color="auto"/>
            </w:tcBorders>
            <w:vAlign w:val="center"/>
          </w:tcPr>
          <w:p w:rsidR="00A06ABD" w:rsidRDefault="00A06ABD" w:rsidP="0040143D">
            <w:pPr>
              <w:jc w:val="center"/>
              <w:outlineLvl w:val="0"/>
              <w:rPr>
                <w:rFonts w:ascii="Times New Roman" w:hAnsi="Times New Roman"/>
                <w:b/>
              </w:rPr>
            </w:pPr>
            <w:r>
              <w:rPr>
                <w:rFonts w:ascii="Times New Roman" w:hAnsi="Times New Roman"/>
                <w:b/>
              </w:rPr>
              <w:t>3.</w:t>
            </w:r>
          </w:p>
        </w:tc>
        <w:tc>
          <w:tcPr>
            <w:tcW w:w="5103" w:type="dxa"/>
            <w:tcBorders>
              <w:top w:val="single" w:sz="4" w:space="0" w:color="auto"/>
              <w:left w:val="single" w:sz="4" w:space="0" w:color="auto"/>
              <w:bottom w:val="single" w:sz="4" w:space="0" w:color="auto"/>
              <w:right w:val="single" w:sz="4" w:space="0" w:color="auto"/>
            </w:tcBorders>
          </w:tcPr>
          <w:p w:rsidR="00A06ABD" w:rsidRPr="00FA4933" w:rsidRDefault="007F58B2" w:rsidP="00E9659C">
            <w:pPr>
              <w:spacing w:line="256" w:lineRule="auto"/>
              <w:jc w:val="center"/>
              <w:rPr>
                <w:rFonts w:ascii="Times New Roman" w:hAnsi="Times New Roman"/>
                <w:b/>
              </w:rPr>
            </w:pPr>
            <w:r w:rsidRPr="007F58B2">
              <w:rPr>
                <w:rFonts w:ascii="Times New Roman" w:hAnsi="Times New Roman"/>
                <w:b/>
              </w:rPr>
              <w:t>SIA “STARIS”</w:t>
            </w:r>
          </w:p>
        </w:tc>
        <w:tc>
          <w:tcPr>
            <w:tcW w:w="2977" w:type="dxa"/>
            <w:tcBorders>
              <w:top w:val="single" w:sz="4" w:space="0" w:color="auto"/>
              <w:left w:val="single" w:sz="4" w:space="0" w:color="auto"/>
              <w:bottom w:val="single" w:sz="4" w:space="0" w:color="auto"/>
              <w:right w:val="single" w:sz="4" w:space="0" w:color="auto"/>
            </w:tcBorders>
            <w:vAlign w:val="center"/>
          </w:tcPr>
          <w:p w:rsidR="00A06ABD" w:rsidRDefault="00A06ABD" w:rsidP="00334F94">
            <w:pPr>
              <w:jc w:val="center"/>
              <w:outlineLvl w:val="0"/>
              <w:rPr>
                <w:rFonts w:ascii="Times New Roman" w:hAnsi="Times New Roman"/>
                <w:b/>
              </w:rPr>
            </w:pPr>
            <w:r>
              <w:rPr>
                <w:rFonts w:ascii="Times New Roman" w:hAnsi="Times New Roman"/>
                <w:b/>
              </w:rPr>
              <w:t>atbilst</w:t>
            </w:r>
          </w:p>
        </w:tc>
      </w:tr>
      <w:tr w:rsidR="00A06ABD" w:rsidRPr="00F31FD2" w:rsidTr="00A06ABD">
        <w:trPr>
          <w:trHeight w:val="246"/>
        </w:trPr>
        <w:tc>
          <w:tcPr>
            <w:tcW w:w="1134" w:type="dxa"/>
            <w:tcBorders>
              <w:top w:val="single" w:sz="4" w:space="0" w:color="auto"/>
              <w:left w:val="single" w:sz="4" w:space="0" w:color="auto"/>
              <w:bottom w:val="single" w:sz="4" w:space="0" w:color="auto"/>
              <w:right w:val="single" w:sz="4" w:space="0" w:color="auto"/>
            </w:tcBorders>
            <w:vAlign w:val="center"/>
          </w:tcPr>
          <w:p w:rsidR="00A06ABD" w:rsidRDefault="00A06ABD" w:rsidP="0040143D">
            <w:pPr>
              <w:jc w:val="center"/>
              <w:outlineLvl w:val="0"/>
              <w:rPr>
                <w:rFonts w:ascii="Times New Roman" w:hAnsi="Times New Roman"/>
                <w:b/>
              </w:rPr>
            </w:pPr>
            <w:r>
              <w:rPr>
                <w:rFonts w:ascii="Times New Roman" w:hAnsi="Times New Roman"/>
                <w:b/>
              </w:rPr>
              <w:t>4.</w:t>
            </w:r>
          </w:p>
        </w:tc>
        <w:tc>
          <w:tcPr>
            <w:tcW w:w="5103" w:type="dxa"/>
            <w:tcBorders>
              <w:top w:val="single" w:sz="4" w:space="0" w:color="auto"/>
              <w:left w:val="single" w:sz="4" w:space="0" w:color="auto"/>
              <w:bottom w:val="single" w:sz="4" w:space="0" w:color="auto"/>
              <w:right w:val="single" w:sz="4" w:space="0" w:color="auto"/>
            </w:tcBorders>
          </w:tcPr>
          <w:p w:rsidR="00A06ABD" w:rsidRPr="00FA4933" w:rsidRDefault="007F58B2" w:rsidP="00E9659C">
            <w:pPr>
              <w:spacing w:line="256" w:lineRule="auto"/>
              <w:jc w:val="center"/>
              <w:rPr>
                <w:rFonts w:ascii="Times New Roman" w:hAnsi="Times New Roman"/>
                <w:b/>
              </w:rPr>
            </w:pPr>
            <w:r w:rsidRPr="007F58B2">
              <w:rPr>
                <w:rFonts w:ascii="Times New Roman" w:hAnsi="Times New Roman"/>
                <w:b/>
              </w:rPr>
              <w:t>SIA “</w:t>
            </w:r>
            <w:proofErr w:type="spellStart"/>
            <w:r w:rsidRPr="007F58B2">
              <w:rPr>
                <w:rFonts w:ascii="Times New Roman" w:hAnsi="Times New Roman"/>
                <w:b/>
              </w:rPr>
              <w:t>You</w:t>
            </w:r>
            <w:proofErr w:type="spellEnd"/>
            <w:r w:rsidRPr="007F58B2">
              <w:rPr>
                <w:rFonts w:ascii="Times New Roman" w:hAnsi="Times New Roman"/>
                <w:b/>
              </w:rPr>
              <w:t xml:space="preserve"> Made </w:t>
            </w:r>
            <w:proofErr w:type="spellStart"/>
            <w:r w:rsidRPr="007F58B2">
              <w:rPr>
                <w:rFonts w:ascii="Times New Roman" w:hAnsi="Times New Roman"/>
                <w:b/>
              </w:rPr>
              <w:t>My</w:t>
            </w:r>
            <w:proofErr w:type="spellEnd"/>
            <w:r w:rsidRPr="007F58B2">
              <w:rPr>
                <w:rFonts w:ascii="Times New Roman" w:hAnsi="Times New Roman"/>
                <w:b/>
              </w:rPr>
              <w:t xml:space="preserve"> </w:t>
            </w:r>
            <w:proofErr w:type="spellStart"/>
            <w:r w:rsidRPr="007F58B2">
              <w:rPr>
                <w:rFonts w:ascii="Times New Roman" w:hAnsi="Times New Roman"/>
                <w:b/>
              </w:rPr>
              <w:t>Day</w:t>
            </w:r>
            <w:proofErr w:type="spellEnd"/>
            <w:r w:rsidRPr="007F58B2">
              <w:rPr>
                <w:rFonts w:ascii="Times New Roman" w:hAnsi="Times New Roman"/>
                <w:b/>
              </w:rPr>
              <w:t>”</w:t>
            </w:r>
          </w:p>
        </w:tc>
        <w:tc>
          <w:tcPr>
            <w:tcW w:w="2977" w:type="dxa"/>
            <w:tcBorders>
              <w:top w:val="single" w:sz="4" w:space="0" w:color="auto"/>
              <w:left w:val="single" w:sz="4" w:space="0" w:color="auto"/>
              <w:bottom w:val="single" w:sz="4" w:space="0" w:color="auto"/>
              <w:right w:val="single" w:sz="4" w:space="0" w:color="auto"/>
            </w:tcBorders>
            <w:vAlign w:val="center"/>
          </w:tcPr>
          <w:p w:rsidR="00A06ABD" w:rsidRDefault="00A06ABD" w:rsidP="00334F94">
            <w:pPr>
              <w:jc w:val="center"/>
              <w:outlineLvl w:val="0"/>
              <w:rPr>
                <w:rFonts w:ascii="Times New Roman" w:hAnsi="Times New Roman"/>
                <w:b/>
              </w:rPr>
            </w:pPr>
            <w:r>
              <w:rPr>
                <w:rFonts w:ascii="Times New Roman" w:hAnsi="Times New Roman"/>
                <w:b/>
              </w:rPr>
              <w:t>atbilst</w:t>
            </w:r>
          </w:p>
        </w:tc>
      </w:tr>
      <w:tr w:rsidR="007F58B2" w:rsidRPr="00F31FD2" w:rsidTr="00A06ABD">
        <w:trPr>
          <w:trHeight w:val="246"/>
        </w:trPr>
        <w:tc>
          <w:tcPr>
            <w:tcW w:w="1134" w:type="dxa"/>
            <w:tcBorders>
              <w:top w:val="single" w:sz="4" w:space="0" w:color="auto"/>
              <w:left w:val="single" w:sz="4" w:space="0" w:color="auto"/>
              <w:bottom w:val="single" w:sz="4" w:space="0" w:color="auto"/>
              <w:right w:val="single" w:sz="4" w:space="0" w:color="auto"/>
            </w:tcBorders>
            <w:vAlign w:val="center"/>
          </w:tcPr>
          <w:p w:rsidR="007F58B2" w:rsidRDefault="007F58B2" w:rsidP="0040143D">
            <w:pPr>
              <w:jc w:val="center"/>
              <w:outlineLvl w:val="0"/>
              <w:rPr>
                <w:rFonts w:ascii="Times New Roman" w:hAnsi="Times New Roman"/>
                <w:b/>
              </w:rPr>
            </w:pPr>
            <w:r>
              <w:rPr>
                <w:rFonts w:ascii="Times New Roman" w:hAnsi="Times New Roman"/>
                <w:b/>
              </w:rPr>
              <w:t>5.</w:t>
            </w:r>
          </w:p>
        </w:tc>
        <w:tc>
          <w:tcPr>
            <w:tcW w:w="5103" w:type="dxa"/>
            <w:tcBorders>
              <w:top w:val="single" w:sz="4" w:space="0" w:color="auto"/>
              <w:left w:val="single" w:sz="4" w:space="0" w:color="auto"/>
              <w:bottom w:val="single" w:sz="4" w:space="0" w:color="auto"/>
              <w:right w:val="single" w:sz="4" w:space="0" w:color="auto"/>
            </w:tcBorders>
          </w:tcPr>
          <w:p w:rsidR="007F58B2" w:rsidRPr="007F58B2" w:rsidRDefault="007F58B2" w:rsidP="00E9659C">
            <w:pPr>
              <w:spacing w:line="256" w:lineRule="auto"/>
              <w:jc w:val="center"/>
              <w:rPr>
                <w:rFonts w:ascii="Times New Roman" w:hAnsi="Times New Roman"/>
                <w:b/>
              </w:rPr>
            </w:pPr>
            <w:r w:rsidRPr="007F58B2">
              <w:rPr>
                <w:rFonts w:ascii="Times New Roman" w:hAnsi="Times New Roman"/>
                <w:b/>
              </w:rPr>
              <w:t>SIA “DEXT”</w:t>
            </w:r>
          </w:p>
        </w:tc>
        <w:tc>
          <w:tcPr>
            <w:tcW w:w="2977" w:type="dxa"/>
            <w:tcBorders>
              <w:top w:val="single" w:sz="4" w:space="0" w:color="auto"/>
              <w:left w:val="single" w:sz="4" w:space="0" w:color="auto"/>
              <w:bottom w:val="single" w:sz="4" w:space="0" w:color="auto"/>
              <w:right w:val="single" w:sz="4" w:space="0" w:color="auto"/>
            </w:tcBorders>
            <w:vAlign w:val="center"/>
          </w:tcPr>
          <w:p w:rsidR="007F58B2" w:rsidRDefault="007F58B2" w:rsidP="00334F94">
            <w:pPr>
              <w:jc w:val="center"/>
              <w:outlineLvl w:val="0"/>
              <w:rPr>
                <w:rFonts w:ascii="Times New Roman" w:hAnsi="Times New Roman"/>
                <w:b/>
              </w:rPr>
            </w:pPr>
            <w:r>
              <w:rPr>
                <w:rFonts w:ascii="Times New Roman" w:hAnsi="Times New Roman"/>
                <w:b/>
              </w:rPr>
              <w:t>neatbilst</w:t>
            </w:r>
          </w:p>
        </w:tc>
      </w:tr>
      <w:tr w:rsidR="007F58B2" w:rsidRPr="00F31FD2" w:rsidTr="00A06ABD">
        <w:trPr>
          <w:trHeight w:val="246"/>
        </w:trPr>
        <w:tc>
          <w:tcPr>
            <w:tcW w:w="1134" w:type="dxa"/>
            <w:tcBorders>
              <w:top w:val="single" w:sz="4" w:space="0" w:color="auto"/>
              <w:left w:val="single" w:sz="4" w:space="0" w:color="auto"/>
              <w:bottom w:val="single" w:sz="4" w:space="0" w:color="auto"/>
              <w:right w:val="single" w:sz="4" w:space="0" w:color="auto"/>
            </w:tcBorders>
            <w:vAlign w:val="center"/>
          </w:tcPr>
          <w:p w:rsidR="007F58B2" w:rsidRDefault="007F58B2" w:rsidP="0040143D">
            <w:pPr>
              <w:jc w:val="center"/>
              <w:outlineLvl w:val="0"/>
              <w:rPr>
                <w:rFonts w:ascii="Times New Roman" w:hAnsi="Times New Roman"/>
                <w:b/>
              </w:rPr>
            </w:pPr>
            <w:r>
              <w:rPr>
                <w:rFonts w:ascii="Times New Roman" w:hAnsi="Times New Roman"/>
                <w:b/>
              </w:rPr>
              <w:t>6.</w:t>
            </w:r>
          </w:p>
        </w:tc>
        <w:tc>
          <w:tcPr>
            <w:tcW w:w="5103" w:type="dxa"/>
            <w:tcBorders>
              <w:top w:val="single" w:sz="4" w:space="0" w:color="auto"/>
              <w:left w:val="single" w:sz="4" w:space="0" w:color="auto"/>
              <w:bottom w:val="single" w:sz="4" w:space="0" w:color="auto"/>
              <w:right w:val="single" w:sz="4" w:space="0" w:color="auto"/>
            </w:tcBorders>
          </w:tcPr>
          <w:p w:rsidR="007F58B2" w:rsidRPr="007F58B2" w:rsidRDefault="007F58B2" w:rsidP="00E9659C">
            <w:pPr>
              <w:spacing w:line="256" w:lineRule="auto"/>
              <w:jc w:val="center"/>
              <w:rPr>
                <w:rFonts w:ascii="Times New Roman" w:hAnsi="Times New Roman"/>
                <w:b/>
              </w:rPr>
            </w:pPr>
            <w:r w:rsidRPr="007F58B2">
              <w:rPr>
                <w:rFonts w:ascii="Times New Roman" w:hAnsi="Times New Roman"/>
                <w:b/>
              </w:rPr>
              <w:t>SIA “DUE”</w:t>
            </w:r>
          </w:p>
        </w:tc>
        <w:tc>
          <w:tcPr>
            <w:tcW w:w="2977" w:type="dxa"/>
            <w:tcBorders>
              <w:top w:val="single" w:sz="4" w:space="0" w:color="auto"/>
              <w:left w:val="single" w:sz="4" w:space="0" w:color="auto"/>
              <w:bottom w:val="single" w:sz="4" w:space="0" w:color="auto"/>
              <w:right w:val="single" w:sz="4" w:space="0" w:color="auto"/>
            </w:tcBorders>
            <w:vAlign w:val="center"/>
          </w:tcPr>
          <w:p w:rsidR="007F58B2" w:rsidRDefault="007F58B2" w:rsidP="00334F94">
            <w:pPr>
              <w:jc w:val="center"/>
              <w:outlineLvl w:val="0"/>
              <w:rPr>
                <w:rFonts w:ascii="Times New Roman" w:hAnsi="Times New Roman"/>
                <w:b/>
              </w:rPr>
            </w:pPr>
            <w:r>
              <w:rPr>
                <w:rFonts w:ascii="Times New Roman" w:hAnsi="Times New Roman"/>
                <w:b/>
              </w:rPr>
              <w:t>neatbilst</w:t>
            </w:r>
          </w:p>
        </w:tc>
      </w:tr>
    </w:tbl>
    <w:p w:rsidR="00807C5E" w:rsidRPr="00551D4F" w:rsidRDefault="0003443F" w:rsidP="00D0756F">
      <w:pPr>
        <w:pStyle w:val="ListParagraph"/>
        <w:numPr>
          <w:ilvl w:val="0"/>
          <w:numId w:val="3"/>
        </w:numPr>
        <w:spacing w:before="240" w:line="276" w:lineRule="auto"/>
        <w:ind w:left="357" w:hanging="357"/>
        <w:jc w:val="both"/>
        <w:rPr>
          <w:rFonts w:ascii="Times New Roman" w:eastAsia="Times New Roman" w:hAnsi="Times New Roman"/>
          <w:b/>
          <w:bCs/>
          <w:lang w:eastAsia="lv-LV"/>
        </w:rPr>
      </w:pPr>
      <w:r w:rsidRPr="00551D4F">
        <w:rPr>
          <w:rFonts w:ascii="Times New Roman" w:eastAsia="Times New Roman" w:hAnsi="Times New Roman"/>
          <w:b/>
          <w:bCs/>
          <w:lang w:eastAsia="lv-LV"/>
        </w:rPr>
        <w:t>Pretendentu p</w:t>
      </w:r>
      <w:r w:rsidR="0089140D" w:rsidRPr="00551D4F">
        <w:rPr>
          <w:rFonts w:ascii="Times New Roman" w:eastAsia="Times New Roman" w:hAnsi="Times New Roman"/>
          <w:b/>
          <w:bCs/>
          <w:lang w:eastAsia="lv-LV"/>
        </w:rPr>
        <w:t xml:space="preserve">iedāvājumi, kuros veikti aritmētisko kļūdu labojumi: </w:t>
      </w:r>
      <w:r w:rsidR="0089140D" w:rsidRPr="00551D4F">
        <w:rPr>
          <w:rFonts w:ascii="Times New Roman" w:eastAsia="Times New Roman" w:hAnsi="Times New Roman"/>
          <w:b/>
          <w:bCs/>
          <w:u w:val="single"/>
          <w:lang w:eastAsia="lv-LV"/>
        </w:rPr>
        <w:t>nav.</w:t>
      </w:r>
    </w:p>
    <w:p w:rsidR="00E45FCB" w:rsidRDefault="0089140D" w:rsidP="00EC0813">
      <w:pPr>
        <w:pStyle w:val="ListParagraph"/>
        <w:numPr>
          <w:ilvl w:val="0"/>
          <w:numId w:val="3"/>
        </w:numPr>
        <w:spacing w:line="276" w:lineRule="auto"/>
        <w:ind w:left="357" w:hanging="357"/>
        <w:jc w:val="both"/>
        <w:rPr>
          <w:rFonts w:ascii="Times New Roman" w:eastAsia="Times New Roman" w:hAnsi="Times New Roman"/>
          <w:b/>
          <w:bCs/>
          <w:lang w:eastAsia="lv-LV"/>
        </w:rPr>
      </w:pPr>
      <w:r w:rsidRPr="00551D4F">
        <w:rPr>
          <w:rFonts w:ascii="Times New Roman" w:eastAsia="Times New Roman" w:hAnsi="Times New Roman"/>
          <w:b/>
          <w:bCs/>
          <w:lang w:eastAsia="lv-LV"/>
        </w:rPr>
        <w:t>Noraidītie pretende</w:t>
      </w:r>
      <w:r w:rsidR="000851CC" w:rsidRPr="00551D4F">
        <w:rPr>
          <w:rFonts w:ascii="Times New Roman" w:eastAsia="Times New Roman" w:hAnsi="Times New Roman"/>
          <w:b/>
          <w:bCs/>
          <w:lang w:eastAsia="lv-LV"/>
        </w:rPr>
        <w:t>nti un to noraidīšanas iemesli:</w:t>
      </w:r>
      <w:r w:rsidR="000305BA">
        <w:rPr>
          <w:rFonts w:ascii="Times New Roman" w:eastAsia="Times New Roman" w:hAnsi="Times New Roman"/>
          <w:b/>
          <w:bCs/>
          <w:lang w:eastAsia="lv-LV"/>
        </w:rPr>
        <w:t xml:space="preserve"> </w:t>
      </w:r>
      <w:r w:rsidR="005C265E" w:rsidRPr="005C265E">
        <w:rPr>
          <w:rFonts w:ascii="Times New Roman" w:eastAsia="Times New Roman" w:hAnsi="Times New Roman"/>
          <w:b/>
          <w:bCs/>
          <w:lang w:eastAsia="lv-LV"/>
        </w:rPr>
        <w:t xml:space="preserve">Komisija nolēma noraidīt </w:t>
      </w:r>
      <w:r w:rsidR="005C265E" w:rsidRPr="005C265E">
        <w:rPr>
          <w:rFonts w:ascii="Times New Roman" w:hAnsi="Times New Roman"/>
          <w:b/>
        </w:rPr>
        <w:t xml:space="preserve">pretendenta SIA “DUE” piedāvājumu un to tālāk nevērtēt, </w:t>
      </w:r>
      <w:r w:rsidR="005C265E" w:rsidRPr="005C265E">
        <w:rPr>
          <w:rFonts w:ascii="Times New Roman" w:hAnsi="Times New Roman"/>
        </w:rPr>
        <w:t>jo Komisijai radās pamatotas šaubas par pretendenta SIA “DUE” piedāvātās cenas pamatotību un spēju izpildīt Iepirkuma līgumu.</w:t>
      </w:r>
    </w:p>
    <w:p w:rsidR="007156D9" w:rsidRPr="00A625DF" w:rsidRDefault="00540A54" w:rsidP="00EC0813">
      <w:pPr>
        <w:pStyle w:val="ListParagraph"/>
        <w:numPr>
          <w:ilvl w:val="0"/>
          <w:numId w:val="3"/>
        </w:numPr>
        <w:spacing w:line="276" w:lineRule="auto"/>
        <w:ind w:left="357" w:hanging="357"/>
        <w:jc w:val="both"/>
        <w:rPr>
          <w:rFonts w:ascii="Times New Roman" w:eastAsia="Times New Roman" w:hAnsi="Times New Roman"/>
          <w:b/>
          <w:bCs/>
          <w:lang w:eastAsia="lv-LV"/>
        </w:rPr>
      </w:pPr>
      <w:r w:rsidRPr="00551D4F">
        <w:rPr>
          <w:rFonts w:ascii="Times New Roman" w:eastAsia="Times New Roman" w:hAnsi="Times New Roman"/>
          <w:b/>
          <w:bCs/>
          <w:lang w:eastAsia="lv-LV"/>
        </w:rPr>
        <w:t xml:space="preserve">Publisko </w:t>
      </w:r>
      <w:r w:rsidR="002E1CAE">
        <w:rPr>
          <w:rFonts w:ascii="Times New Roman" w:eastAsia="Times New Roman" w:hAnsi="Times New Roman"/>
          <w:b/>
          <w:bCs/>
          <w:lang w:eastAsia="lv-LV"/>
        </w:rPr>
        <w:t>iepirkumu likuma 9</w:t>
      </w:r>
      <w:r w:rsidRPr="00A625DF">
        <w:rPr>
          <w:rFonts w:ascii="Times New Roman" w:eastAsia="Times New Roman" w:hAnsi="Times New Roman"/>
          <w:b/>
          <w:bCs/>
          <w:lang w:eastAsia="lv-LV"/>
        </w:rPr>
        <w:t>.</w:t>
      </w:r>
      <w:r w:rsidR="00A12308" w:rsidRPr="00A625DF">
        <w:rPr>
          <w:rFonts w:ascii="Times New Roman" w:eastAsia="Times New Roman" w:hAnsi="Times New Roman"/>
          <w:b/>
          <w:bCs/>
          <w:lang w:eastAsia="lv-LV"/>
        </w:rPr>
        <w:t xml:space="preserve"> </w:t>
      </w:r>
      <w:r w:rsidRPr="00A625DF">
        <w:rPr>
          <w:rFonts w:ascii="Times New Roman" w:eastAsia="Times New Roman" w:hAnsi="Times New Roman"/>
          <w:b/>
          <w:bCs/>
          <w:lang w:eastAsia="lv-LV"/>
        </w:rPr>
        <w:t xml:space="preserve">panta </w:t>
      </w:r>
      <w:r w:rsidR="00AC21A3">
        <w:rPr>
          <w:rFonts w:ascii="Times New Roman" w:eastAsia="Times New Roman" w:hAnsi="Times New Roman"/>
          <w:b/>
          <w:bCs/>
          <w:lang w:eastAsia="lv-LV"/>
        </w:rPr>
        <w:t>astotajā</w:t>
      </w:r>
      <w:r w:rsidRPr="00A625DF">
        <w:rPr>
          <w:rFonts w:ascii="Times New Roman" w:eastAsia="Times New Roman" w:hAnsi="Times New Roman"/>
          <w:b/>
          <w:bCs/>
          <w:lang w:eastAsia="lv-LV"/>
        </w:rPr>
        <w:t xml:space="preserve"> daļ</w:t>
      </w:r>
      <w:r w:rsidR="00C7363D" w:rsidRPr="00A625DF">
        <w:rPr>
          <w:rFonts w:ascii="Times New Roman" w:eastAsia="Times New Roman" w:hAnsi="Times New Roman"/>
          <w:b/>
          <w:bCs/>
          <w:lang w:eastAsia="lv-LV"/>
        </w:rPr>
        <w:t>ā</w:t>
      </w:r>
      <w:r w:rsidRPr="00A625DF">
        <w:rPr>
          <w:rFonts w:ascii="Times New Roman" w:eastAsia="Times New Roman" w:hAnsi="Times New Roman"/>
          <w:b/>
          <w:bCs/>
          <w:lang w:eastAsia="lv-LV"/>
        </w:rPr>
        <w:t xml:space="preserve"> </w:t>
      </w:r>
      <w:r w:rsidR="00C7363D" w:rsidRPr="00A625DF">
        <w:rPr>
          <w:rFonts w:ascii="Times New Roman" w:eastAsia="Times New Roman" w:hAnsi="Times New Roman"/>
          <w:b/>
          <w:bCs/>
          <w:lang w:eastAsia="lv-LV"/>
        </w:rPr>
        <w:t>minētie izslēgšanas nosacījumi</w:t>
      </w:r>
      <w:r w:rsidRPr="00A625DF">
        <w:rPr>
          <w:rFonts w:ascii="Times New Roman" w:eastAsia="Times New Roman" w:hAnsi="Times New Roman"/>
          <w:bCs/>
          <w:lang w:eastAsia="lv-LV"/>
        </w:rPr>
        <w:t xml:space="preserve"> </w:t>
      </w:r>
      <w:r w:rsidRPr="00A625DF">
        <w:rPr>
          <w:rFonts w:ascii="Times New Roman" w:eastAsia="Times New Roman" w:hAnsi="Times New Roman"/>
          <w:b/>
          <w:bCs/>
          <w:lang w:eastAsia="lv-LV"/>
        </w:rPr>
        <w:t>uz</w:t>
      </w:r>
      <w:r w:rsidR="00B866B0" w:rsidRPr="00A625DF">
        <w:rPr>
          <w:rFonts w:ascii="Times New Roman" w:eastAsia="Times New Roman" w:hAnsi="Times New Roman"/>
          <w:b/>
          <w:bCs/>
          <w:lang w:eastAsia="lv-LV"/>
        </w:rPr>
        <w:t xml:space="preserve"> pretendent</w:t>
      </w:r>
      <w:r w:rsidR="002E1CAE">
        <w:rPr>
          <w:rFonts w:ascii="Times New Roman" w:eastAsia="Times New Roman" w:hAnsi="Times New Roman"/>
          <w:b/>
          <w:bCs/>
          <w:lang w:eastAsia="lv-LV"/>
        </w:rPr>
        <w:t>iem</w:t>
      </w:r>
      <w:r w:rsidR="00B3793C">
        <w:rPr>
          <w:rFonts w:ascii="Times New Roman" w:hAnsi="Times New Roman"/>
          <w:b/>
        </w:rPr>
        <w:t xml:space="preserve">: </w:t>
      </w:r>
      <w:r w:rsidR="005C265E">
        <w:rPr>
          <w:rFonts w:ascii="Times New Roman" w:hAnsi="Times New Roman"/>
          <w:b/>
        </w:rPr>
        <w:t xml:space="preserve">Komisija nolēma izslēgt </w:t>
      </w:r>
      <w:r w:rsidR="005C265E" w:rsidRPr="005C265E">
        <w:rPr>
          <w:rFonts w:ascii="Times New Roman" w:hAnsi="Times New Roman"/>
          <w:b/>
          <w:iCs/>
        </w:rPr>
        <w:t>pretendentu SIA “DEXT” no turpmākas dalības Iepirkumā</w:t>
      </w:r>
      <w:r w:rsidR="005C265E" w:rsidRPr="005C265E">
        <w:rPr>
          <w:rFonts w:ascii="Times New Roman" w:hAnsi="Times New Roman"/>
          <w:iCs/>
        </w:rPr>
        <w:t xml:space="preserve"> un tā piedāvājumu tālāk nevērtēt, jo pretendentam SIA “DEXT” uz piedāvājumu iesniegšanas dienu (11.07.2017.) bija nodokļu parādi, </w:t>
      </w:r>
      <w:r w:rsidR="005C265E" w:rsidRPr="005C265E">
        <w:rPr>
          <w:rFonts w:ascii="Times New Roman" w:hAnsi="Times New Roman"/>
        </w:rPr>
        <w:t xml:space="preserve">tai skaitā valsts sociālās apdrošināšanas obligāto iemaksu parādu, kas kopsummā pārsniedz 150 </w:t>
      </w:r>
      <w:proofErr w:type="spellStart"/>
      <w:r w:rsidR="005C265E" w:rsidRPr="005C265E">
        <w:rPr>
          <w:rFonts w:ascii="Times New Roman" w:hAnsi="Times New Roman"/>
          <w:i/>
          <w:iCs/>
        </w:rPr>
        <w:t>euro</w:t>
      </w:r>
      <w:proofErr w:type="spellEnd"/>
      <w:r w:rsidR="005C265E" w:rsidRPr="005C265E">
        <w:rPr>
          <w:rFonts w:ascii="Times New Roman" w:hAnsi="Times New Roman"/>
          <w:i/>
          <w:iCs/>
        </w:rPr>
        <w:t>.</w:t>
      </w:r>
    </w:p>
    <w:p w:rsidR="00B220C0" w:rsidRPr="00DF4895" w:rsidRDefault="00B220C0" w:rsidP="00B220C0">
      <w:pPr>
        <w:numPr>
          <w:ilvl w:val="0"/>
          <w:numId w:val="3"/>
        </w:numPr>
        <w:spacing w:line="276" w:lineRule="auto"/>
        <w:ind w:left="357" w:hanging="357"/>
        <w:jc w:val="both"/>
        <w:rPr>
          <w:rFonts w:ascii="Times New Roman" w:hAnsi="Times New Roman"/>
          <w:b/>
        </w:rPr>
      </w:pPr>
      <w:r w:rsidRPr="00B220C0">
        <w:rPr>
          <w:rFonts w:ascii="Times New Roman" w:hAnsi="Times New Roman"/>
          <w:bCs/>
          <w:lang w:eastAsia="lv-LV"/>
        </w:rPr>
        <w:t>S</w:t>
      </w:r>
      <w:r w:rsidR="00E163E5">
        <w:rPr>
          <w:rFonts w:ascii="Times New Roman" w:hAnsi="Times New Roman"/>
          <w:bCs/>
          <w:lang w:eastAsia="lv-LV"/>
        </w:rPr>
        <w:t xml:space="preserve">askaņā ar Iepirkuma nolikuma </w:t>
      </w:r>
      <w:r w:rsidR="005C265E">
        <w:rPr>
          <w:rFonts w:ascii="Times New Roman" w:hAnsi="Times New Roman"/>
          <w:bCs/>
          <w:lang w:eastAsia="lv-LV"/>
        </w:rPr>
        <w:t>5.7</w:t>
      </w:r>
      <w:r w:rsidRPr="00B220C0">
        <w:rPr>
          <w:rFonts w:ascii="Times New Roman" w:hAnsi="Times New Roman"/>
          <w:bCs/>
          <w:lang w:eastAsia="lv-LV"/>
        </w:rPr>
        <w:t>.punktu Komisija izvēlas saimnieciski visizdevīgāko piedāvājumu ar viszemāko piedāvāto cenu no piedāvājumiem, kas atbilst visām Iepirkuma nolikumā noteiktajām prasībām</w:t>
      </w:r>
      <w:r w:rsidRPr="00AF33F6">
        <w:rPr>
          <w:rFonts w:ascii="Times New Roman" w:hAnsi="Times New Roman"/>
        </w:rPr>
        <w:t>.</w:t>
      </w:r>
    </w:p>
    <w:tbl>
      <w:tblPr>
        <w:tblW w:w="1054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015"/>
        <w:gridCol w:w="1275"/>
        <w:gridCol w:w="1700"/>
        <w:gridCol w:w="1494"/>
        <w:gridCol w:w="1061"/>
        <w:gridCol w:w="962"/>
        <w:gridCol w:w="1330"/>
      </w:tblGrid>
      <w:tr w:rsidR="00DF4895" w:rsidRPr="00DF4895" w:rsidTr="009A7901">
        <w:trPr>
          <w:trHeight w:val="1550"/>
        </w:trPr>
        <w:tc>
          <w:tcPr>
            <w:tcW w:w="707" w:type="dxa"/>
            <w:tcBorders>
              <w:top w:val="single" w:sz="4" w:space="0" w:color="auto"/>
              <w:left w:val="single" w:sz="4" w:space="0" w:color="auto"/>
              <w:bottom w:val="single" w:sz="4" w:space="0" w:color="auto"/>
              <w:right w:val="single" w:sz="4" w:space="0" w:color="auto"/>
            </w:tcBorders>
            <w:hideMark/>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Nr. </w:t>
            </w:r>
          </w:p>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p.k.</w:t>
            </w:r>
          </w:p>
        </w:tc>
        <w:tc>
          <w:tcPr>
            <w:tcW w:w="2015" w:type="dxa"/>
            <w:tcBorders>
              <w:top w:val="single" w:sz="4" w:space="0" w:color="auto"/>
              <w:left w:val="single" w:sz="4" w:space="0" w:color="auto"/>
              <w:bottom w:val="single" w:sz="4" w:space="0" w:color="auto"/>
              <w:right w:val="single" w:sz="4" w:space="0" w:color="auto"/>
            </w:tcBorders>
            <w:hideMark/>
          </w:tcPr>
          <w:p w:rsidR="00DF4895" w:rsidRPr="00DF4895" w:rsidRDefault="00DF4895" w:rsidP="009A7901">
            <w:pPr>
              <w:pStyle w:val="BodyText"/>
              <w:spacing w:line="256" w:lineRule="auto"/>
              <w:jc w:val="center"/>
              <w:rPr>
                <w:b/>
                <w:sz w:val="20"/>
              </w:rPr>
            </w:pPr>
            <w:r w:rsidRPr="00DF4895">
              <w:rPr>
                <w:b/>
                <w:sz w:val="20"/>
              </w:rPr>
              <w:t xml:space="preserve">Pretendenti </w:t>
            </w:r>
          </w:p>
          <w:p w:rsidR="00DF4895" w:rsidRPr="00DF4895" w:rsidRDefault="00DF4895" w:rsidP="009A7901">
            <w:pPr>
              <w:pStyle w:val="BodyText"/>
              <w:spacing w:line="256" w:lineRule="auto"/>
              <w:jc w:val="center"/>
              <w:rPr>
                <w:b/>
                <w:sz w:val="20"/>
              </w:rPr>
            </w:pPr>
            <w:r w:rsidRPr="00DF4895">
              <w:rPr>
                <w:b/>
                <w:sz w:val="20"/>
              </w:rPr>
              <w:t>(nosaukums)</w:t>
            </w:r>
          </w:p>
        </w:tc>
        <w:tc>
          <w:tcPr>
            <w:tcW w:w="1275" w:type="dxa"/>
            <w:tcBorders>
              <w:top w:val="single" w:sz="4" w:space="0" w:color="auto"/>
              <w:left w:val="single" w:sz="4" w:space="0" w:color="auto"/>
              <w:bottom w:val="single" w:sz="4" w:space="0" w:color="auto"/>
              <w:right w:val="single" w:sz="4" w:space="0" w:color="auto"/>
            </w:tcBorders>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Grafiskais standarts (X)</w:t>
            </w:r>
          </w:p>
        </w:tc>
        <w:tc>
          <w:tcPr>
            <w:tcW w:w="1700" w:type="dxa"/>
            <w:tcBorders>
              <w:top w:val="single" w:sz="4" w:space="0" w:color="auto"/>
              <w:left w:val="single" w:sz="4" w:space="0" w:color="auto"/>
              <w:bottom w:val="single" w:sz="4" w:space="0" w:color="auto"/>
              <w:right w:val="single" w:sz="4" w:space="0" w:color="auto"/>
            </w:tcBorders>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Grafiskajam standartam ir mūsdienīga un skaidri uztverama koncepcija</w:t>
            </w:r>
            <w:r w:rsidRPr="00DF4895">
              <w:rPr>
                <w:rFonts w:ascii="Times New Roman" w:hAnsi="Times New Roman"/>
                <w:sz w:val="20"/>
                <w:szCs w:val="20"/>
              </w:rPr>
              <w:t xml:space="preserve"> </w:t>
            </w:r>
            <w:r w:rsidRPr="00DF4895">
              <w:rPr>
                <w:rFonts w:ascii="Times New Roman" w:hAnsi="Times New Roman"/>
                <w:b/>
                <w:sz w:val="20"/>
                <w:szCs w:val="20"/>
              </w:rPr>
              <w:t>(Y)</w:t>
            </w:r>
          </w:p>
        </w:tc>
        <w:tc>
          <w:tcPr>
            <w:tcW w:w="1494" w:type="dxa"/>
            <w:tcBorders>
              <w:top w:val="single" w:sz="4" w:space="0" w:color="auto"/>
              <w:left w:val="single" w:sz="4" w:space="0" w:color="auto"/>
              <w:bottom w:val="single" w:sz="4" w:space="0" w:color="auto"/>
              <w:right w:val="single" w:sz="4" w:space="0" w:color="auto"/>
            </w:tcBorders>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Mākslinieciskā izpildījuma kvalitāte</w:t>
            </w:r>
            <w:r w:rsidRPr="00DF4895">
              <w:rPr>
                <w:rFonts w:ascii="Times New Roman" w:hAnsi="Times New Roman"/>
                <w:sz w:val="20"/>
                <w:szCs w:val="20"/>
              </w:rPr>
              <w:t xml:space="preserve"> </w:t>
            </w:r>
            <w:r w:rsidRPr="00DF4895">
              <w:rPr>
                <w:rFonts w:ascii="Times New Roman" w:hAnsi="Times New Roman"/>
                <w:b/>
                <w:sz w:val="20"/>
                <w:szCs w:val="20"/>
              </w:rPr>
              <w:t>(Z)</w:t>
            </w:r>
          </w:p>
        </w:tc>
        <w:tc>
          <w:tcPr>
            <w:tcW w:w="1061" w:type="dxa"/>
            <w:tcBorders>
              <w:top w:val="single" w:sz="4" w:space="0" w:color="auto"/>
              <w:left w:val="single" w:sz="4" w:space="0" w:color="auto"/>
              <w:bottom w:val="single" w:sz="4" w:space="0" w:color="auto"/>
              <w:right w:val="single" w:sz="4" w:space="0" w:color="auto"/>
            </w:tcBorders>
          </w:tcPr>
          <w:p w:rsidR="00DF4895" w:rsidRPr="00DF4895" w:rsidRDefault="00DF4895" w:rsidP="009A7901">
            <w:pPr>
              <w:jc w:val="center"/>
              <w:rPr>
                <w:rFonts w:ascii="Times New Roman" w:hAnsi="Times New Roman"/>
                <w:b/>
                <w:sz w:val="20"/>
                <w:szCs w:val="20"/>
              </w:rPr>
            </w:pPr>
            <w:r w:rsidRPr="00DF4895">
              <w:rPr>
                <w:rFonts w:ascii="Times New Roman" w:hAnsi="Times New Roman"/>
                <w:b/>
                <w:sz w:val="20"/>
                <w:szCs w:val="20"/>
              </w:rPr>
              <w:t xml:space="preserve">Piedāvātā cena </w:t>
            </w:r>
          </w:p>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 xml:space="preserve"> (A)</w:t>
            </w:r>
          </w:p>
          <w:p w:rsidR="00DF4895" w:rsidRPr="00DF4895" w:rsidRDefault="00DF4895" w:rsidP="009A7901">
            <w:pPr>
              <w:spacing w:line="256" w:lineRule="auto"/>
              <w:jc w:val="center"/>
              <w:outlineLvl w:val="0"/>
              <w:rPr>
                <w:rFonts w:ascii="Times New Roman" w:hAnsi="Times New Roman"/>
                <w:b/>
                <w:sz w:val="20"/>
                <w:szCs w:val="20"/>
                <w:vertAlign w:val="superscript"/>
              </w:rPr>
            </w:pPr>
          </w:p>
        </w:tc>
        <w:tc>
          <w:tcPr>
            <w:tcW w:w="962" w:type="dxa"/>
            <w:tcBorders>
              <w:top w:val="single" w:sz="4" w:space="0" w:color="auto"/>
              <w:left w:val="single" w:sz="4" w:space="0" w:color="auto"/>
              <w:bottom w:val="single" w:sz="4" w:space="0" w:color="auto"/>
              <w:right w:val="single" w:sz="4" w:space="0" w:color="auto"/>
            </w:tcBorders>
          </w:tcPr>
          <w:p w:rsidR="00DF4895" w:rsidRPr="00DF4895" w:rsidRDefault="00DF4895" w:rsidP="009A7901">
            <w:pPr>
              <w:jc w:val="center"/>
              <w:rPr>
                <w:rFonts w:ascii="Times New Roman" w:hAnsi="Times New Roman"/>
                <w:b/>
                <w:sz w:val="20"/>
                <w:szCs w:val="20"/>
              </w:rPr>
            </w:pPr>
            <w:r w:rsidRPr="00DF4895">
              <w:rPr>
                <w:rFonts w:ascii="Times New Roman" w:hAnsi="Times New Roman"/>
                <w:b/>
                <w:sz w:val="20"/>
                <w:szCs w:val="20"/>
              </w:rPr>
              <w:t xml:space="preserve">Vērtējums katram </w:t>
            </w:r>
            <w:proofErr w:type="spellStart"/>
            <w:r w:rsidRPr="00DF4895">
              <w:rPr>
                <w:rFonts w:ascii="Times New Roman" w:hAnsi="Times New Roman"/>
                <w:b/>
                <w:sz w:val="20"/>
                <w:szCs w:val="20"/>
              </w:rPr>
              <w:t>portfolio</w:t>
            </w:r>
            <w:proofErr w:type="spellEnd"/>
            <w:r w:rsidRPr="00DF4895">
              <w:rPr>
                <w:rFonts w:ascii="Times New Roman" w:hAnsi="Times New Roman"/>
                <w:b/>
                <w:sz w:val="20"/>
                <w:szCs w:val="20"/>
              </w:rPr>
              <w:t xml:space="preserve"> (</w:t>
            </w:r>
            <w:r w:rsidRPr="00DF4895">
              <w:rPr>
                <w:rFonts w:ascii="Times New Roman" w:hAnsi="Times New Roman"/>
                <w:b/>
                <w:i/>
                <w:sz w:val="20"/>
                <w:szCs w:val="20"/>
              </w:rPr>
              <w:t>V</w:t>
            </w:r>
            <w:r w:rsidRPr="00DF4895">
              <w:rPr>
                <w:rFonts w:ascii="Times New Roman" w:hAnsi="Times New Roman"/>
                <w:b/>
                <w:sz w:val="20"/>
                <w:szCs w:val="20"/>
              </w:rPr>
              <w:t>)</w:t>
            </w:r>
          </w:p>
          <w:p w:rsidR="00DF4895" w:rsidRPr="00DF4895" w:rsidRDefault="00DF4895" w:rsidP="009A7901">
            <w:pPr>
              <w:jc w:val="center"/>
              <w:rPr>
                <w:rFonts w:ascii="Times New Roman" w:hAnsi="Times New Roman"/>
                <w:b/>
                <w:sz w:val="20"/>
                <w:szCs w:val="20"/>
              </w:rPr>
            </w:pPr>
            <w:r w:rsidRPr="00DF4895">
              <w:rPr>
                <w:rFonts w:ascii="Times New Roman" w:hAnsi="Times New Roman"/>
                <w:b/>
                <w:sz w:val="20"/>
                <w:szCs w:val="20"/>
              </w:rPr>
              <w:t>V=X+Y+Z+A</w:t>
            </w:r>
          </w:p>
          <w:p w:rsidR="00DF4895" w:rsidRPr="00DF4895" w:rsidRDefault="00DF4895" w:rsidP="009A7901">
            <w:pPr>
              <w:jc w:val="center"/>
              <w:rPr>
                <w:rFonts w:ascii="Times New Roman" w:hAnsi="Times New Roman"/>
                <w:sz w:val="20"/>
                <w:szCs w:val="20"/>
              </w:rPr>
            </w:pPr>
          </w:p>
        </w:tc>
        <w:tc>
          <w:tcPr>
            <w:tcW w:w="1330" w:type="dxa"/>
            <w:tcBorders>
              <w:top w:val="single" w:sz="4" w:space="0" w:color="auto"/>
              <w:left w:val="single" w:sz="4" w:space="0" w:color="auto"/>
              <w:bottom w:val="single" w:sz="4" w:space="0" w:color="auto"/>
              <w:right w:val="single" w:sz="4" w:space="0" w:color="auto"/>
            </w:tcBorders>
          </w:tcPr>
          <w:p w:rsidR="00DF4895" w:rsidRPr="00DF4895" w:rsidRDefault="00DF4895" w:rsidP="009A7901">
            <w:pPr>
              <w:ind w:firstLine="34"/>
              <w:jc w:val="center"/>
              <w:rPr>
                <w:rFonts w:ascii="Times New Roman" w:hAnsi="Times New Roman"/>
                <w:b/>
                <w:sz w:val="20"/>
                <w:szCs w:val="20"/>
              </w:rPr>
            </w:pPr>
            <w:r w:rsidRPr="00DF4895">
              <w:rPr>
                <w:rFonts w:ascii="Times New Roman" w:hAnsi="Times New Roman"/>
                <w:b/>
                <w:sz w:val="20"/>
                <w:szCs w:val="20"/>
              </w:rPr>
              <w:t>Vērtējums kopā (</w:t>
            </w:r>
            <w:proofErr w:type="spellStart"/>
            <w:r w:rsidRPr="00DF4895">
              <w:rPr>
                <w:rFonts w:ascii="Times New Roman" w:hAnsi="Times New Roman"/>
                <w:b/>
                <w:sz w:val="20"/>
                <w:szCs w:val="20"/>
              </w:rPr>
              <w:t>V</w:t>
            </w:r>
            <w:r w:rsidRPr="00DF4895">
              <w:rPr>
                <w:rFonts w:ascii="Times New Roman" w:hAnsi="Times New Roman"/>
                <w:b/>
                <w:sz w:val="20"/>
                <w:szCs w:val="20"/>
                <w:vertAlign w:val="subscript"/>
              </w:rPr>
              <w:t>kopā</w:t>
            </w:r>
            <w:proofErr w:type="spellEnd"/>
            <w:r w:rsidRPr="00DF4895">
              <w:rPr>
                <w:rFonts w:ascii="Times New Roman" w:hAnsi="Times New Roman"/>
                <w:b/>
                <w:sz w:val="20"/>
                <w:szCs w:val="20"/>
              </w:rPr>
              <w:t>)</w:t>
            </w:r>
          </w:p>
          <w:p w:rsidR="00DF4895" w:rsidRPr="00DF4895" w:rsidRDefault="00DF4895" w:rsidP="009A7901">
            <w:pPr>
              <w:ind w:firstLine="34"/>
              <w:jc w:val="center"/>
              <w:rPr>
                <w:rFonts w:ascii="Times New Roman" w:hAnsi="Times New Roman"/>
                <w:sz w:val="20"/>
                <w:szCs w:val="20"/>
              </w:rPr>
            </w:pPr>
            <w:proofErr w:type="spellStart"/>
            <w:r w:rsidRPr="00DF4895">
              <w:rPr>
                <w:rFonts w:ascii="Times New Roman" w:hAnsi="Times New Roman"/>
                <w:b/>
                <w:sz w:val="20"/>
                <w:szCs w:val="20"/>
              </w:rPr>
              <w:t>V</w:t>
            </w:r>
            <w:r w:rsidRPr="00DF4895">
              <w:rPr>
                <w:rFonts w:ascii="Times New Roman" w:hAnsi="Times New Roman"/>
                <w:b/>
                <w:sz w:val="20"/>
                <w:szCs w:val="20"/>
                <w:vertAlign w:val="subscript"/>
              </w:rPr>
              <w:t>kopā</w:t>
            </w:r>
            <w:proofErr w:type="spellEnd"/>
            <w:r w:rsidRPr="00DF4895">
              <w:rPr>
                <w:rFonts w:ascii="Times New Roman" w:hAnsi="Times New Roman"/>
                <w:b/>
                <w:sz w:val="20"/>
                <w:szCs w:val="20"/>
              </w:rPr>
              <w:t>=</w:t>
            </w:r>
            <w:proofErr w:type="spellStart"/>
            <w:r w:rsidRPr="00DF4895">
              <w:rPr>
                <w:rFonts w:ascii="Times New Roman" w:hAnsi="Times New Roman"/>
                <w:b/>
                <w:sz w:val="20"/>
                <w:szCs w:val="20"/>
              </w:rPr>
              <w:t>V</w:t>
            </w:r>
            <w:r w:rsidRPr="00DF4895">
              <w:rPr>
                <w:rFonts w:ascii="Times New Roman" w:hAnsi="Times New Roman"/>
                <w:b/>
                <w:sz w:val="20"/>
                <w:szCs w:val="20"/>
                <w:vertAlign w:val="subscript"/>
              </w:rPr>
              <w:t>pirmajam</w:t>
            </w:r>
            <w:proofErr w:type="spellEnd"/>
            <w:r w:rsidRPr="00DF4895">
              <w:rPr>
                <w:rFonts w:ascii="Times New Roman" w:hAnsi="Times New Roman"/>
                <w:b/>
                <w:sz w:val="20"/>
                <w:szCs w:val="20"/>
                <w:vertAlign w:val="subscript"/>
              </w:rPr>
              <w:t xml:space="preserve"> </w:t>
            </w:r>
            <w:proofErr w:type="spellStart"/>
            <w:r w:rsidRPr="00DF4895">
              <w:rPr>
                <w:rFonts w:ascii="Times New Roman" w:hAnsi="Times New Roman"/>
                <w:b/>
                <w:sz w:val="20"/>
                <w:szCs w:val="20"/>
                <w:vertAlign w:val="subscript"/>
              </w:rPr>
              <w:t>portfolio</w:t>
            </w:r>
            <w:r w:rsidRPr="00DF4895">
              <w:rPr>
                <w:rFonts w:ascii="Times New Roman" w:hAnsi="Times New Roman"/>
                <w:b/>
                <w:sz w:val="20"/>
                <w:szCs w:val="20"/>
              </w:rPr>
              <w:t>+V</w:t>
            </w:r>
            <w:r w:rsidRPr="00DF4895">
              <w:rPr>
                <w:rFonts w:ascii="Times New Roman" w:hAnsi="Times New Roman"/>
                <w:b/>
                <w:sz w:val="20"/>
                <w:szCs w:val="20"/>
                <w:vertAlign w:val="subscript"/>
              </w:rPr>
              <w:t>otrajam</w:t>
            </w:r>
            <w:proofErr w:type="spellEnd"/>
            <w:r w:rsidRPr="00DF4895">
              <w:rPr>
                <w:rFonts w:ascii="Times New Roman" w:hAnsi="Times New Roman"/>
                <w:b/>
                <w:sz w:val="20"/>
                <w:szCs w:val="20"/>
                <w:vertAlign w:val="subscript"/>
              </w:rPr>
              <w:t xml:space="preserve"> </w:t>
            </w:r>
            <w:proofErr w:type="spellStart"/>
            <w:r w:rsidRPr="00DF4895">
              <w:rPr>
                <w:rFonts w:ascii="Times New Roman" w:hAnsi="Times New Roman"/>
                <w:b/>
                <w:sz w:val="20"/>
                <w:szCs w:val="20"/>
                <w:vertAlign w:val="subscript"/>
              </w:rPr>
              <w:t>portfolio</w:t>
            </w:r>
            <w:proofErr w:type="spellEnd"/>
          </w:p>
        </w:tc>
      </w:tr>
      <w:tr w:rsidR="00DF4895" w:rsidRPr="00DF4895" w:rsidTr="009A7901">
        <w:trPr>
          <w:trHeight w:val="398"/>
        </w:trPr>
        <w:tc>
          <w:tcPr>
            <w:tcW w:w="707" w:type="dxa"/>
            <w:vMerge w:val="restart"/>
            <w:tcBorders>
              <w:top w:val="single" w:sz="4" w:space="0" w:color="auto"/>
              <w:left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w:t>
            </w:r>
          </w:p>
        </w:tc>
        <w:tc>
          <w:tcPr>
            <w:tcW w:w="2015" w:type="dxa"/>
            <w:vMerge w:val="restart"/>
            <w:tcBorders>
              <w:top w:val="single" w:sz="4" w:space="0" w:color="auto"/>
              <w:left w:val="single" w:sz="4" w:space="0" w:color="auto"/>
              <w:right w:val="single" w:sz="4" w:space="0" w:color="auto"/>
            </w:tcBorders>
            <w:vAlign w:val="center"/>
            <w:hideMark/>
          </w:tcPr>
          <w:p w:rsidR="00DF4895" w:rsidRPr="00DF4895" w:rsidRDefault="00DF4895" w:rsidP="009A7901">
            <w:pPr>
              <w:pStyle w:val="BodyText"/>
              <w:spacing w:line="256" w:lineRule="auto"/>
              <w:jc w:val="center"/>
              <w:rPr>
                <w:b/>
                <w:sz w:val="20"/>
              </w:rPr>
            </w:pPr>
            <w:r w:rsidRPr="00DF4895">
              <w:rPr>
                <w:b/>
                <w:sz w:val="20"/>
              </w:rPr>
              <w:t>SIA “</w:t>
            </w:r>
            <w:proofErr w:type="spellStart"/>
            <w:r w:rsidRPr="00DF4895">
              <w:rPr>
                <w:b/>
                <w:sz w:val="20"/>
              </w:rPr>
              <w:t>You</w:t>
            </w:r>
            <w:proofErr w:type="spellEnd"/>
            <w:r w:rsidRPr="00DF4895">
              <w:rPr>
                <w:b/>
                <w:sz w:val="20"/>
              </w:rPr>
              <w:t xml:space="preserve"> Made </w:t>
            </w:r>
            <w:proofErr w:type="spellStart"/>
            <w:r w:rsidRPr="00DF4895">
              <w:rPr>
                <w:b/>
                <w:sz w:val="20"/>
              </w:rPr>
              <w:t>My</w:t>
            </w:r>
            <w:proofErr w:type="spellEnd"/>
            <w:r w:rsidRPr="00DF4895">
              <w:rPr>
                <w:b/>
                <w:sz w:val="20"/>
              </w:rPr>
              <w:t xml:space="preserve"> </w:t>
            </w:r>
            <w:proofErr w:type="spellStart"/>
            <w:r w:rsidRPr="00DF4895">
              <w:rPr>
                <w:b/>
                <w:sz w:val="20"/>
              </w:rPr>
              <w:t>Day</w:t>
            </w:r>
            <w:proofErr w:type="spellEnd"/>
            <w:r w:rsidRPr="00DF4895">
              <w:rPr>
                <w:b/>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18</w:t>
            </w:r>
          </w:p>
        </w:tc>
        <w:tc>
          <w:tcPr>
            <w:tcW w:w="1700"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10</w:t>
            </w:r>
          </w:p>
        </w:tc>
        <w:tc>
          <w:tcPr>
            <w:tcW w:w="1494"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10</w:t>
            </w:r>
          </w:p>
        </w:tc>
        <w:tc>
          <w:tcPr>
            <w:tcW w:w="1061"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37,56</w:t>
            </w:r>
          </w:p>
        </w:tc>
        <w:tc>
          <w:tcPr>
            <w:tcW w:w="962" w:type="dxa"/>
            <w:tcBorders>
              <w:top w:val="single" w:sz="4" w:space="0" w:color="auto"/>
              <w:left w:val="single" w:sz="4" w:space="0" w:color="auto"/>
              <w:bottom w:val="single" w:sz="4" w:space="0" w:color="auto"/>
              <w:right w:val="single" w:sz="4" w:space="0" w:color="auto"/>
            </w:tcBorders>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75,56</w:t>
            </w:r>
          </w:p>
        </w:tc>
        <w:tc>
          <w:tcPr>
            <w:tcW w:w="1330" w:type="dxa"/>
            <w:vMerge w:val="restart"/>
            <w:tcBorders>
              <w:top w:val="single" w:sz="4" w:space="0" w:color="auto"/>
              <w:left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150,12</w:t>
            </w:r>
          </w:p>
        </w:tc>
      </w:tr>
      <w:tr w:rsidR="00DF4895" w:rsidRPr="00DF4895" w:rsidTr="009A7901">
        <w:trPr>
          <w:trHeight w:val="291"/>
        </w:trPr>
        <w:tc>
          <w:tcPr>
            <w:tcW w:w="707" w:type="dxa"/>
            <w:vMerge/>
            <w:tcBorders>
              <w:left w:val="single" w:sz="4" w:space="0" w:color="auto"/>
              <w:bottom w:val="single" w:sz="4" w:space="0" w:color="auto"/>
              <w:right w:val="single" w:sz="4" w:space="0" w:color="auto"/>
            </w:tcBorders>
          </w:tcPr>
          <w:p w:rsidR="00DF4895" w:rsidRPr="00DF4895" w:rsidRDefault="00DF4895" w:rsidP="009A7901">
            <w:pPr>
              <w:spacing w:line="256" w:lineRule="auto"/>
              <w:jc w:val="center"/>
              <w:outlineLvl w:val="0"/>
              <w:rPr>
                <w:rFonts w:ascii="Times New Roman" w:hAnsi="Times New Roman"/>
                <w:b/>
                <w:sz w:val="20"/>
                <w:szCs w:val="20"/>
              </w:rPr>
            </w:pPr>
          </w:p>
        </w:tc>
        <w:tc>
          <w:tcPr>
            <w:tcW w:w="2015" w:type="dxa"/>
            <w:vMerge/>
            <w:tcBorders>
              <w:left w:val="single" w:sz="4" w:space="0" w:color="auto"/>
              <w:bottom w:val="single" w:sz="4" w:space="0" w:color="auto"/>
              <w:right w:val="single" w:sz="4" w:space="0" w:color="auto"/>
            </w:tcBorders>
            <w:vAlign w:val="center"/>
          </w:tcPr>
          <w:p w:rsidR="00DF4895" w:rsidRPr="00DF4895" w:rsidRDefault="00DF4895" w:rsidP="009A7901">
            <w:pPr>
              <w:pStyle w:val="BodyText"/>
              <w:spacing w:line="256" w:lineRule="auto"/>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17</w:t>
            </w:r>
          </w:p>
        </w:tc>
        <w:tc>
          <w:tcPr>
            <w:tcW w:w="1700"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10</w:t>
            </w:r>
          </w:p>
        </w:tc>
        <w:tc>
          <w:tcPr>
            <w:tcW w:w="1494"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10</w:t>
            </w:r>
          </w:p>
        </w:tc>
        <w:tc>
          <w:tcPr>
            <w:tcW w:w="1061"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37,56</w:t>
            </w:r>
          </w:p>
        </w:tc>
        <w:tc>
          <w:tcPr>
            <w:tcW w:w="962" w:type="dxa"/>
            <w:tcBorders>
              <w:top w:val="single" w:sz="4" w:space="0" w:color="auto"/>
              <w:left w:val="single" w:sz="4" w:space="0" w:color="auto"/>
              <w:bottom w:val="single" w:sz="4" w:space="0" w:color="auto"/>
              <w:right w:val="single" w:sz="4" w:space="0" w:color="auto"/>
            </w:tcBorders>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74,56</w:t>
            </w:r>
          </w:p>
        </w:tc>
        <w:tc>
          <w:tcPr>
            <w:tcW w:w="1330" w:type="dxa"/>
            <w:vMerge/>
            <w:tcBorders>
              <w:left w:val="single" w:sz="4" w:space="0" w:color="auto"/>
              <w:bottom w:val="single" w:sz="4" w:space="0" w:color="auto"/>
              <w:right w:val="single" w:sz="4" w:space="0" w:color="auto"/>
            </w:tcBorders>
            <w:vAlign w:val="center"/>
          </w:tcPr>
          <w:p w:rsidR="00DF4895" w:rsidRPr="00DF4895" w:rsidRDefault="00DF4895" w:rsidP="009A7901">
            <w:pPr>
              <w:spacing w:line="256" w:lineRule="auto"/>
              <w:ind w:hanging="533"/>
              <w:jc w:val="center"/>
              <w:outlineLvl w:val="0"/>
              <w:rPr>
                <w:rFonts w:ascii="Times New Roman" w:hAnsi="Times New Roman"/>
                <w:b/>
                <w:sz w:val="20"/>
                <w:szCs w:val="20"/>
              </w:rPr>
            </w:pPr>
          </w:p>
        </w:tc>
      </w:tr>
      <w:tr w:rsidR="00DF4895" w:rsidRPr="00DF4895" w:rsidTr="009A7901">
        <w:trPr>
          <w:trHeight w:val="319"/>
        </w:trPr>
        <w:tc>
          <w:tcPr>
            <w:tcW w:w="707" w:type="dxa"/>
            <w:vMerge w:val="restart"/>
            <w:tcBorders>
              <w:top w:val="single" w:sz="4" w:space="0" w:color="auto"/>
              <w:left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2.</w:t>
            </w:r>
          </w:p>
        </w:tc>
        <w:tc>
          <w:tcPr>
            <w:tcW w:w="2015" w:type="dxa"/>
            <w:vMerge w:val="restart"/>
            <w:tcBorders>
              <w:top w:val="single" w:sz="4" w:space="0" w:color="auto"/>
              <w:left w:val="single" w:sz="4" w:space="0" w:color="auto"/>
              <w:right w:val="single" w:sz="4" w:space="0" w:color="auto"/>
            </w:tcBorders>
            <w:vAlign w:val="center"/>
            <w:hideMark/>
          </w:tcPr>
          <w:p w:rsidR="00DF4895" w:rsidRPr="00DF4895" w:rsidRDefault="00DF4895" w:rsidP="009A7901">
            <w:pPr>
              <w:pStyle w:val="BodyText"/>
              <w:spacing w:line="256" w:lineRule="auto"/>
              <w:jc w:val="center"/>
              <w:rPr>
                <w:b/>
                <w:sz w:val="20"/>
              </w:rPr>
            </w:pPr>
            <w:r w:rsidRPr="00DF4895">
              <w:rPr>
                <w:b/>
                <w:sz w:val="20"/>
              </w:rPr>
              <w:t>SIA “</w:t>
            </w:r>
            <w:proofErr w:type="spellStart"/>
            <w:r w:rsidRPr="00DF4895">
              <w:rPr>
                <w:b/>
                <w:sz w:val="20"/>
              </w:rPr>
              <w:t>Agnecy</w:t>
            </w:r>
            <w:proofErr w:type="spellEnd"/>
            <w:r w:rsidRPr="00DF4895">
              <w:rPr>
                <w:b/>
                <w:sz w:val="20"/>
              </w:rPr>
              <w:t xml:space="preserve"> B”</w:t>
            </w:r>
          </w:p>
        </w:tc>
        <w:tc>
          <w:tcPr>
            <w:tcW w:w="1275"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20</w:t>
            </w:r>
          </w:p>
        </w:tc>
        <w:tc>
          <w:tcPr>
            <w:tcW w:w="1700"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10</w:t>
            </w:r>
          </w:p>
        </w:tc>
        <w:tc>
          <w:tcPr>
            <w:tcW w:w="1494"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20</w:t>
            </w:r>
          </w:p>
        </w:tc>
        <w:tc>
          <w:tcPr>
            <w:tcW w:w="1061"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31,30</w:t>
            </w:r>
          </w:p>
        </w:tc>
        <w:tc>
          <w:tcPr>
            <w:tcW w:w="962" w:type="dxa"/>
            <w:tcBorders>
              <w:top w:val="single" w:sz="4" w:space="0" w:color="auto"/>
              <w:left w:val="single" w:sz="4" w:space="0" w:color="auto"/>
              <w:bottom w:val="single" w:sz="4" w:space="0" w:color="auto"/>
              <w:right w:val="single" w:sz="4" w:space="0" w:color="auto"/>
            </w:tcBorders>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81,30</w:t>
            </w:r>
          </w:p>
        </w:tc>
        <w:tc>
          <w:tcPr>
            <w:tcW w:w="1330" w:type="dxa"/>
            <w:vMerge w:val="restart"/>
            <w:tcBorders>
              <w:top w:val="single" w:sz="4" w:space="0" w:color="auto"/>
              <w:left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162,60</w:t>
            </w:r>
          </w:p>
        </w:tc>
      </w:tr>
      <w:tr w:rsidR="00DF4895" w:rsidRPr="00DF4895" w:rsidTr="009A7901">
        <w:trPr>
          <w:trHeight w:val="319"/>
        </w:trPr>
        <w:tc>
          <w:tcPr>
            <w:tcW w:w="707" w:type="dxa"/>
            <w:vMerge/>
            <w:tcBorders>
              <w:left w:val="single" w:sz="4" w:space="0" w:color="auto"/>
              <w:bottom w:val="single" w:sz="4" w:space="0" w:color="auto"/>
              <w:right w:val="single" w:sz="4" w:space="0" w:color="auto"/>
            </w:tcBorders>
          </w:tcPr>
          <w:p w:rsidR="00DF4895" w:rsidRPr="00DF4895" w:rsidRDefault="00DF4895" w:rsidP="009A7901">
            <w:pPr>
              <w:spacing w:line="256" w:lineRule="auto"/>
              <w:jc w:val="center"/>
              <w:outlineLvl w:val="0"/>
              <w:rPr>
                <w:rFonts w:ascii="Times New Roman" w:hAnsi="Times New Roman"/>
                <w:b/>
                <w:sz w:val="20"/>
                <w:szCs w:val="20"/>
              </w:rPr>
            </w:pPr>
          </w:p>
        </w:tc>
        <w:tc>
          <w:tcPr>
            <w:tcW w:w="2015" w:type="dxa"/>
            <w:vMerge/>
            <w:tcBorders>
              <w:left w:val="single" w:sz="4" w:space="0" w:color="auto"/>
              <w:bottom w:val="single" w:sz="4" w:space="0" w:color="auto"/>
              <w:right w:val="single" w:sz="4" w:space="0" w:color="auto"/>
            </w:tcBorders>
            <w:vAlign w:val="center"/>
          </w:tcPr>
          <w:p w:rsidR="00DF4895" w:rsidRPr="00DF4895" w:rsidRDefault="00DF4895" w:rsidP="009A7901">
            <w:pPr>
              <w:pStyle w:val="BodyText"/>
              <w:spacing w:line="256" w:lineRule="auto"/>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20</w:t>
            </w:r>
          </w:p>
        </w:tc>
        <w:tc>
          <w:tcPr>
            <w:tcW w:w="1700"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10</w:t>
            </w:r>
          </w:p>
        </w:tc>
        <w:tc>
          <w:tcPr>
            <w:tcW w:w="1494"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20</w:t>
            </w:r>
          </w:p>
        </w:tc>
        <w:tc>
          <w:tcPr>
            <w:tcW w:w="1061"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31,30</w:t>
            </w:r>
          </w:p>
        </w:tc>
        <w:tc>
          <w:tcPr>
            <w:tcW w:w="962" w:type="dxa"/>
            <w:tcBorders>
              <w:top w:val="single" w:sz="4" w:space="0" w:color="auto"/>
              <w:left w:val="single" w:sz="4" w:space="0" w:color="auto"/>
              <w:bottom w:val="single" w:sz="4" w:space="0" w:color="auto"/>
              <w:right w:val="single" w:sz="4" w:space="0" w:color="auto"/>
            </w:tcBorders>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81,30</w:t>
            </w:r>
          </w:p>
        </w:tc>
        <w:tc>
          <w:tcPr>
            <w:tcW w:w="1330" w:type="dxa"/>
            <w:vMerge/>
            <w:tcBorders>
              <w:left w:val="single" w:sz="4" w:space="0" w:color="auto"/>
              <w:bottom w:val="single" w:sz="4" w:space="0" w:color="auto"/>
              <w:right w:val="single" w:sz="4" w:space="0" w:color="auto"/>
            </w:tcBorders>
            <w:vAlign w:val="center"/>
          </w:tcPr>
          <w:p w:rsidR="00DF4895" w:rsidRPr="00DF4895" w:rsidRDefault="00DF4895" w:rsidP="009A7901">
            <w:pPr>
              <w:spacing w:line="256" w:lineRule="auto"/>
              <w:ind w:hanging="533"/>
              <w:jc w:val="center"/>
              <w:outlineLvl w:val="0"/>
              <w:rPr>
                <w:rFonts w:ascii="Times New Roman" w:hAnsi="Times New Roman"/>
                <w:b/>
                <w:sz w:val="20"/>
                <w:szCs w:val="20"/>
              </w:rPr>
            </w:pPr>
          </w:p>
        </w:tc>
      </w:tr>
      <w:tr w:rsidR="00DF4895" w:rsidRPr="00DF4895" w:rsidTr="009A7901">
        <w:trPr>
          <w:trHeight w:val="319"/>
        </w:trPr>
        <w:tc>
          <w:tcPr>
            <w:tcW w:w="707" w:type="dxa"/>
            <w:vMerge w:val="restart"/>
            <w:tcBorders>
              <w:left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3.</w:t>
            </w:r>
          </w:p>
        </w:tc>
        <w:tc>
          <w:tcPr>
            <w:tcW w:w="2015" w:type="dxa"/>
            <w:vMerge w:val="restart"/>
            <w:tcBorders>
              <w:left w:val="single" w:sz="4" w:space="0" w:color="auto"/>
              <w:right w:val="single" w:sz="4" w:space="0" w:color="auto"/>
            </w:tcBorders>
            <w:vAlign w:val="center"/>
          </w:tcPr>
          <w:p w:rsidR="00DF4895" w:rsidRPr="00DF4895" w:rsidRDefault="00DF4895" w:rsidP="009A7901">
            <w:pPr>
              <w:pStyle w:val="BodyText"/>
              <w:spacing w:line="256" w:lineRule="auto"/>
              <w:jc w:val="center"/>
              <w:rPr>
                <w:b/>
                <w:sz w:val="20"/>
              </w:rPr>
            </w:pPr>
            <w:r w:rsidRPr="00DF4895">
              <w:rPr>
                <w:b/>
                <w:sz w:val="20"/>
              </w:rPr>
              <w:t>SIA “</w:t>
            </w:r>
            <w:proofErr w:type="spellStart"/>
            <w:r w:rsidRPr="00DF4895">
              <w:rPr>
                <w:b/>
                <w:sz w:val="20"/>
              </w:rPr>
              <w:t>Igloo</w:t>
            </w:r>
            <w:proofErr w:type="spellEnd"/>
            <w:r w:rsidRPr="00DF4895">
              <w:rPr>
                <w:b/>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20</w:t>
            </w:r>
          </w:p>
        </w:tc>
        <w:tc>
          <w:tcPr>
            <w:tcW w:w="1700"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10</w:t>
            </w:r>
          </w:p>
        </w:tc>
        <w:tc>
          <w:tcPr>
            <w:tcW w:w="1494"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10</w:t>
            </w:r>
          </w:p>
        </w:tc>
        <w:tc>
          <w:tcPr>
            <w:tcW w:w="1061"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39,18</w:t>
            </w:r>
          </w:p>
        </w:tc>
        <w:tc>
          <w:tcPr>
            <w:tcW w:w="962" w:type="dxa"/>
            <w:tcBorders>
              <w:top w:val="single" w:sz="4" w:space="0" w:color="auto"/>
              <w:left w:val="single" w:sz="4" w:space="0" w:color="auto"/>
              <w:bottom w:val="single" w:sz="4" w:space="0" w:color="auto"/>
              <w:right w:val="single" w:sz="4" w:space="0" w:color="auto"/>
            </w:tcBorders>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79,18</w:t>
            </w:r>
          </w:p>
        </w:tc>
        <w:tc>
          <w:tcPr>
            <w:tcW w:w="1330" w:type="dxa"/>
            <w:vMerge w:val="restart"/>
            <w:tcBorders>
              <w:top w:val="single" w:sz="4" w:space="0" w:color="auto"/>
              <w:left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158,36</w:t>
            </w:r>
          </w:p>
        </w:tc>
      </w:tr>
      <w:tr w:rsidR="00DF4895" w:rsidRPr="00DF4895" w:rsidTr="009A7901">
        <w:trPr>
          <w:trHeight w:val="319"/>
        </w:trPr>
        <w:tc>
          <w:tcPr>
            <w:tcW w:w="707" w:type="dxa"/>
            <w:vMerge/>
            <w:tcBorders>
              <w:left w:val="single" w:sz="4" w:space="0" w:color="auto"/>
              <w:bottom w:val="single" w:sz="4" w:space="0" w:color="auto"/>
              <w:right w:val="single" w:sz="4" w:space="0" w:color="auto"/>
            </w:tcBorders>
          </w:tcPr>
          <w:p w:rsidR="00DF4895" w:rsidRPr="00DF4895" w:rsidRDefault="00DF4895" w:rsidP="009A7901">
            <w:pPr>
              <w:spacing w:line="256" w:lineRule="auto"/>
              <w:jc w:val="center"/>
              <w:outlineLvl w:val="0"/>
              <w:rPr>
                <w:rFonts w:ascii="Times New Roman" w:hAnsi="Times New Roman"/>
                <w:b/>
                <w:sz w:val="20"/>
                <w:szCs w:val="20"/>
              </w:rPr>
            </w:pPr>
          </w:p>
        </w:tc>
        <w:tc>
          <w:tcPr>
            <w:tcW w:w="2015" w:type="dxa"/>
            <w:vMerge/>
            <w:tcBorders>
              <w:left w:val="single" w:sz="4" w:space="0" w:color="auto"/>
              <w:bottom w:val="single" w:sz="4" w:space="0" w:color="auto"/>
              <w:right w:val="single" w:sz="4" w:space="0" w:color="auto"/>
            </w:tcBorders>
            <w:vAlign w:val="center"/>
          </w:tcPr>
          <w:p w:rsidR="00DF4895" w:rsidRPr="00DF4895" w:rsidRDefault="00DF4895" w:rsidP="009A7901">
            <w:pPr>
              <w:pStyle w:val="BodyText"/>
              <w:spacing w:line="256" w:lineRule="auto"/>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20</w:t>
            </w:r>
          </w:p>
        </w:tc>
        <w:tc>
          <w:tcPr>
            <w:tcW w:w="1700"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10</w:t>
            </w:r>
          </w:p>
        </w:tc>
        <w:tc>
          <w:tcPr>
            <w:tcW w:w="1494"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10</w:t>
            </w:r>
          </w:p>
        </w:tc>
        <w:tc>
          <w:tcPr>
            <w:tcW w:w="1061"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39,18</w:t>
            </w:r>
          </w:p>
        </w:tc>
        <w:tc>
          <w:tcPr>
            <w:tcW w:w="962" w:type="dxa"/>
            <w:tcBorders>
              <w:top w:val="single" w:sz="4" w:space="0" w:color="auto"/>
              <w:left w:val="single" w:sz="4" w:space="0" w:color="auto"/>
              <w:bottom w:val="single" w:sz="4" w:space="0" w:color="auto"/>
              <w:right w:val="single" w:sz="4" w:space="0" w:color="auto"/>
            </w:tcBorders>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79,18</w:t>
            </w:r>
          </w:p>
        </w:tc>
        <w:tc>
          <w:tcPr>
            <w:tcW w:w="1330" w:type="dxa"/>
            <w:vMerge/>
            <w:tcBorders>
              <w:left w:val="single" w:sz="4" w:space="0" w:color="auto"/>
              <w:bottom w:val="single" w:sz="4" w:space="0" w:color="auto"/>
              <w:right w:val="single" w:sz="4" w:space="0" w:color="auto"/>
            </w:tcBorders>
            <w:vAlign w:val="center"/>
          </w:tcPr>
          <w:p w:rsidR="00DF4895" w:rsidRPr="00DF4895" w:rsidRDefault="00DF4895" w:rsidP="009A7901">
            <w:pPr>
              <w:spacing w:line="256" w:lineRule="auto"/>
              <w:ind w:hanging="533"/>
              <w:jc w:val="center"/>
              <w:outlineLvl w:val="0"/>
              <w:rPr>
                <w:rFonts w:ascii="Times New Roman" w:hAnsi="Times New Roman"/>
                <w:b/>
                <w:sz w:val="20"/>
                <w:szCs w:val="20"/>
              </w:rPr>
            </w:pPr>
          </w:p>
        </w:tc>
      </w:tr>
      <w:tr w:rsidR="00DF4895" w:rsidRPr="00DF4895" w:rsidTr="009A7901">
        <w:trPr>
          <w:trHeight w:val="319"/>
        </w:trPr>
        <w:tc>
          <w:tcPr>
            <w:tcW w:w="707" w:type="dxa"/>
            <w:vMerge w:val="restart"/>
            <w:tcBorders>
              <w:left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4.</w:t>
            </w:r>
          </w:p>
        </w:tc>
        <w:tc>
          <w:tcPr>
            <w:tcW w:w="2015" w:type="dxa"/>
            <w:vMerge w:val="restart"/>
            <w:tcBorders>
              <w:left w:val="single" w:sz="4" w:space="0" w:color="auto"/>
              <w:right w:val="single" w:sz="4" w:space="0" w:color="auto"/>
            </w:tcBorders>
            <w:vAlign w:val="center"/>
          </w:tcPr>
          <w:p w:rsidR="00DF4895" w:rsidRPr="00DF4895" w:rsidRDefault="00DF4895" w:rsidP="009A7901">
            <w:pPr>
              <w:pStyle w:val="BodyText"/>
              <w:spacing w:line="256" w:lineRule="auto"/>
              <w:jc w:val="center"/>
              <w:rPr>
                <w:b/>
                <w:sz w:val="20"/>
              </w:rPr>
            </w:pPr>
            <w:r w:rsidRPr="00DF4895">
              <w:rPr>
                <w:b/>
                <w:sz w:val="20"/>
              </w:rPr>
              <w:t>SIA “Staris”</w:t>
            </w:r>
          </w:p>
        </w:tc>
        <w:tc>
          <w:tcPr>
            <w:tcW w:w="1275"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17</w:t>
            </w:r>
          </w:p>
        </w:tc>
        <w:tc>
          <w:tcPr>
            <w:tcW w:w="1700"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10</w:t>
            </w:r>
          </w:p>
        </w:tc>
        <w:tc>
          <w:tcPr>
            <w:tcW w:w="1494"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10</w:t>
            </w:r>
          </w:p>
        </w:tc>
        <w:tc>
          <w:tcPr>
            <w:tcW w:w="1061"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40</w:t>
            </w:r>
          </w:p>
        </w:tc>
        <w:tc>
          <w:tcPr>
            <w:tcW w:w="962" w:type="dxa"/>
            <w:tcBorders>
              <w:top w:val="single" w:sz="4" w:space="0" w:color="auto"/>
              <w:left w:val="single" w:sz="4" w:space="0" w:color="auto"/>
              <w:bottom w:val="single" w:sz="4" w:space="0" w:color="auto"/>
              <w:right w:val="single" w:sz="4" w:space="0" w:color="auto"/>
            </w:tcBorders>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77</w:t>
            </w:r>
          </w:p>
        </w:tc>
        <w:tc>
          <w:tcPr>
            <w:tcW w:w="1330" w:type="dxa"/>
            <w:vMerge w:val="restart"/>
            <w:tcBorders>
              <w:top w:val="single" w:sz="4" w:space="0" w:color="auto"/>
              <w:left w:val="single" w:sz="4" w:space="0" w:color="auto"/>
              <w:right w:val="single" w:sz="4" w:space="0" w:color="auto"/>
            </w:tcBorders>
            <w:vAlign w:val="center"/>
          </w:tcPr>
          <w:p w:rsidR="00DF4895" w:rsidRPr="00DF4895" w:rsidRDefault="00DF4895" w:rsidP="009A7901">
            <w:pPr>
              <w:spacing w:line="256" w:lineRule="auto"/>
              <w:ind w:hanging="108"/>
              <w:jc w:val="center"/>
              <w:outlineLvl w:val="0"/>
              <w:rPr>
                <w:rFonts w:ascii="Times New Roman" w:hAnsi="Times New Roman"/>
                <w:b/>
                <w:sz w:val="20"/>
                <w:szCs w:val="20"/>
              </w:rPr>
            </w:pPr>
            <w:r w:rsidRPr="00DF4895">
              <w:rPr>
                <w:rFonts w:ascii="Times New Roman" w:hAnsi="Times New Roman"/>
                <w:b/>
                <w:sz w:val="20"/>
                <w:szCs w:val="20"/>
              </w:rPr>
              <w:t>154</w:t>
            </w:r>
          </w:p>
        </w:tc>
      </w:tr>
      <w:tr w:rsidR="00DF4895" w:rsidRPr="00DF4895" w:rsidTr="009A7901">
        <w:trPr>
          <w:trHeight w:val="319"/>
        </w:trPr>
        <w:tc>
          <w:tcPr>
            <w:tcW w:w="707" w:type="dxa"/>
            <w:vMerge/>
            <w:tcBorders>
              <w:left w:val="single" w:sz="4" w:space="0" w:color="auto"/>
              <w:bottom w:val="single" w:sz="4" w:space="0" w:color="auto"/>
              <w:right w:val="single" w:sz="4" w:space="0" w:color="auto"/>
            </w:tcBorders>
          </w:tcPr>
          <w:p w:rsidR="00DF4895" w:rsidRPr="00DF4895" w:rsidRDefault="00DF4895" w:rsidP="009A7901">
            <w:pPr>
              <w:spacing w:line="256" w:lineRule="auto"/>
              <w:jc w:val="center"/>
              <w:outlineLvl w:val="0"/>
              <w:rPr>
                <w:rFonts w:ascii="Times New Roman" w:hAnsi="Times New Roman"/>
                <w:b/>
                <w:sz w:val="20"/>
                <w:szCs w:val="20"/>
              </w:rPr>
            </w:pPr>
          </w:p>
        </w:tc>
        <w:tc>
          <w:tcPr>
            <w:tcW w:w="2015" w:type="dxa"/>
            <w:vMerge/>
            <w:tcBorders>
              <w:left w:val="single" w:sz="4" w:space="0" w:color="auto"/>
              <w:bottom w:val="single" w:sz="4" w:space="0" w:color="auto"/>
              <w:right w:val="single" w:sz="4" w:space="0" w:color="auto"/>
            </w:tcBorders>
            <w:vAlign w:val="center"/>
          </w:tcPr>
          <w:p w:rsidR="00DF4895" w:rsidRPr="00DF4895" w:rsidRDefault="00DF4895" w:rsidP="009A7901">
            <w:pPr>
              <w:pStyle w:val="BodyText"/>
              <w:spacing w:line="256" w:lineRule="auto"/>
              <w:jc w:val="center"/>
              <w:rPr>
                <w:b/>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17</w:t>
            </w:r>
          </w:p>
        </w:tc>
        <w:tc>
          <w:tcPr>
            <w:tcW w:w="1700"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10</w:t>
            </w:r>
          </w:p>
        </w:tc>
        <w:tc>
          <w:tcPr>
            <w:tcW w:w="1494"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10</w:t>
            </w:r>
          </w:p>
        </w:tc>
        <w:tc>
          <w:tcPr>
            <w:tcW w:w="1061" w:type="dxa"/>
            <w:tcBorders>
              <w:top w:val="single" w:sz="4" w:space="0" w:color="auto"/>
              <w:left w:val="single" w:sz="4" w:space="0" w:color="auto"/>
              <w:bottom w:val="single" w:sz="4" w:space="0" w:color="auto"/>
              <w:right w:val="single" w:sz="4" w:space="0" w:color="auto"/>
            </w:tcBorders>
            <w:vAlign w:val="center"/>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40</w:t>
            </w:r>
          </w:p>
        </w:tc>
        <w:tc>
          <w:tcPr>
            <w:tcW w:w="962" w:type="dxa"/>
            <w:tcBorders>
              <w:top w:val="single" w:sz="4" w:space="0" w:color="auto"/>
              <w:left w:val="single" w:sz="4" w:space="0" w:color="auto"/>
              <w:bottom w:val="single" w:sz="4" w:space="0" w:color="auto"/>
              <w:right w:val="single" w:sz="4" w:space="0" w:color="auto"/>
            </w:tcBorders>
          </w:tcPr>
          <w:p w:rsidR="00DF4895" w:rsidRPr="00DF4895" w:rsidRDefault="00DF4895" w:rsidP="009A7901">
            <w:pPr>
              <w:spacing w:line="256" w:lineRule="auto"/>
              <w:jc w:val="center"/>
              <w:outlineLvl w:val="0"/>
              <w:rPr>
                <w:rFonts w:ascii="Times New Roman" w:hAnsi="Times New Roman"/>
                <w:b/>
                <w:sz w:val="20"/>
                <w:szCs w:val="20"/>
              </w:rPr>
            </w:pPr>
            <w:r w:rsidRPr="00DF4895">
              <w:rPr>
                <w:rFonts w:ascii="Times New Roman" w:hAnsi="Times New Roman"/>
                <w:b/>
                <w:sz w:val="20"/>
                <w:szCs w:val="20"/>
              </w:rPr>
              <w:t>77</w:t>
            </w:r>
          </w:p>
        </w:tc>
        <w:tc>
          <w:tcPr>
            <w:tcW w:w="1330" w:type="dxa"/>
            <w:vMerge/>
            <w:tcBorders>
              <w:left w:val="single" w:sz="4" w:space="0" w:color="auto"/>
              <w:bottom w:val="single" w:sz="4" w:space="0" w:color="auto"/>
              <w:right w:val="single" w:sz="4" w:space="0" w:color="auto"/>
            </w:tcBorders>
          </w:tcPr>
          <w:p w:rsidR="00DF4895" w:rsidRPr="00DF4895" w:rsidRDefault="00DF4895" w:rsidP="009A7901">
            <w:pPr>
              <w:spacing w:line="256" w:lineRule="auto"/>
              <w:ind w:hanging="533"/>
              <w:jc w:val="center"/>
              <w:outlineLvl w:val="0"/>
              <w:rPr>
                <w:rFonts w:ascii="Times New Roman" w:hAnsi="Times New Roman"/>
                <w:b/>
                <w:sz w:val="20"/>
                <w:szCs w:val="20"/>
              </w:rPr>
            </w:pPr>
          </w:p>
        </w:tc>
      </w:tr>
    </w:tbl>
    <w:p w:rsidR="00DF4895" w:rsidRPr="005C265E" w:rsidRDefault="00DF4895" w:rsidP="00DF4895">
      <w:pPr>
        <w:spacing w:line="276" w:lineRule="auto"/>
        <w:ind w:left="357"/>
        <w:jc w:val="both"/>
        <w:rPr>
          <w:rFonts w:ascii="Times New Roman" w:hAnsi="Times New Roman"/>
          <w:b/>
        </w:rPr>
      </w:pPr>
    </w:p>
    <w:p w:rsidR="005C265E" w:rsidRPr="005C265E" w:rsidRDefault="005C265E" w:rsidP="005C265E">
      <w:pPr>
        <w:pStyle w:val="ListParagraph"/>
        <w:numPr>
          <w:ilvl w:val="0"/>
          <w:numId w:val="3"/>
        </w:numPr>
        <w:spacing w:line="276" w:lineRule="auto"/>
        <w:ind w:left="426"/>
        <w:jc w:val="both"/>
        <w:rPr>
          <w:rFonts w:ascii="Times New Roman" w:hAnsi="Times New Roman"/>
        </w:rPr>
      </w:pPr>
      <w:r w:rsidRPr="005C265E">
        <w:rPr>
          <w:rFonts w:ascii="Times New Roman" w:hAnsi="Times New Roman"/>
          <w:b/>
        </w:rPr>
        <w:t xml:space="preserve">Komisija, ņemot vērā veikto pretendentu iesniegto piedāvājumu </w:t>
      </w:r>
      <w:proofErr w:type="spellStart"/>
      <w:r w:rsidRPr="005C265E">
        <w:rPr>
          <w:rFonts w:ascii="Times New Roman" w:hAnsi="Times New Roman"/>
          <w:b/>
        </w:rPr>
        <w:t>izvērtējumu</w:t>
      </w:r>
      <w:proofErr w:type="spellEnd"/>
      <w:r w:rsidRPr="005C265E">
        <w:rPr>
          <w:rFonts w:ascii="Times New Roman" w:hAnsi="Times New Roman"/>
          <w:b/>
        </w:rPr>
        <w:t>, kā arī pamatojoties uz PIL 9. panta astotās daļas 2.punktu, trīspadsmito daļu un Nolikuma 4.3.2., 5.3., 5.6.5.punktu, nolemj:</w:t>
      </w:r>
    </w:p>
    <w:p w:rsidR="005C265E" w:rsidRPr="005C265E" w:rsidRDefault="005C265E" w:rsidP="005C265E">
      <w:pPr>
        <w:numPr>
          <w:ilvl w:val="1"/>
          <w:numId w:val="3"/>
        </w:numPr>
        <w:spacing w:line="276" w:lineRule="auto"/>
        <w:jc w:val="both"/>
        <w:rPr>
          <w:rFonts w:ascii="Times New Roman" w:hAnsi="Times New Roman"/>
        </w:rPr>
      </w:pPr>
      <w:r w:rsidRPr="005C265E">
        <w:rPr>
          <w:rFonts w:ascii="Times New Roman" w:hAnsi="Times New Roman"/>
          <w:b/>
        </w:rPr>
        <w:lastRenderedPageBreak/>
        <w:t>atzīt</w:t>
      </w:r>
      <w:r w:rsidRPr="005C265E">
        <w:rPr>
          <w:rFonts w:ascii="Times New Roman" w:hAnsi="Times New Roman"/>
        </w:rPr>
        <w:t xml:space="preserve"> </w:t>
      </w:r>
      <w:r w:rsidRPr="005C265E">
        <w:rPr>
          <w:rFonts w:ascii="Times New Roman" w:hAnsi="Times New Roman"/>
          <w:b/>
        </w:rPr>
        <w:t xml:space="preserve">pretendentu sabiedrība ar ierobežotu atbildību </w:t>
      </w:r>
      <w:r w:rsidRPr="005C265E">
        <w:rPr>
          <w:rFonts w:ascii="Times New Roman" w:hAnsi="Times New Roman"/>
          <w:b/>
          <w:bCs/>
        </w:rPr>
        <w:t>“</w:t>
      </w:r>
      <w:proofErr w:type="spellStart"/>
      <w:r w:rsidRPr="005C265E">
        <w:rPr>
          <w:rFonts w:ascii="Times New Roman" w:hAnsi="Times New Roman"/>
          <w:b/>
          <w:bCs/>
        </w:rPr>
        <w:t>Agency</w:t>
      </w:r>
      <w:proofErr w:type="spellEnd"/>
      <w:r w:rsidRPr="005C265E">
        <w:rPr>
          <w:rFonts w:ascii="Times New Roman" w:hAnsi="Times New Roman"/>
          <w:b/>
          <w:bCs/>
        </w:rPr>
        <w:t xml:space="preserve"> B”</w:t>
      </w:r>
      <w:r w:rsidRPr="005C265E">
        <w:rPr>
          <w:rFonts w:ascii="Times New Roman" w:hAnsi="Times New Roman"/>
          <w:b/>
        </w:rPr>
        <w:t xml:space="preserve"> par </w:t>
      </w:r>
      <w:r w:rsidRPr="005C265E">
        <w:rPr>
          <w:rFonts w:ascii="Times New Roman" w:hAnsi="Times New Roman"/>
          <w:b/>
          <w:bCs/>
          <w:lang w:eastAsia="lv-LV"/>
        </w:rPr>
        <w:t xml:space="preserve">uzvarētāju Iepirkumā </w:t>
      </w:r>
      <w:r w:rsidRPr="005C265E">
        <w:rPr>
          <w:rFonts w:ascii="Times New Roman" w:hAnsi="Times New Roman"/>
        </w:rPr>
        <w:t>“</w:t>
      </w:r>
      <w:r w:rsidRPr="005C265E">
        <w:rPr>
          <w:rFonts w:ascii="Times New Roman" w:hAnsi="Times New Roman"/>
          <w:b/>
          <w:bCs/>
        </w:rPr>
        <w:t>Latvijas Universitātes vizuālās identitātes izstrāde”</w:t>
      </w:r>
      <w:r w:rsidRPr="005C265E">
        <w:rPr>
          <w:rFonts w:ascii="Times New Roman" w:hAnsi="Times New Roman"/>
          <w:bCs/>
          <w:lang w:eastAsia="lv-LV"/>
        </w:rPr>
        <w:t xml:space="preserve">, jo tā piedāvājums atbilst visām Iepirkuma nolikumā noteiktajām prasībām un ir saimnieciski visizdevīgākais piedāvājums: </w:t>
      </w:r>
      <w:r w:rsidRPr="005C265E">
        <w:rPr>
          <w:rFonts w:ascii="Times New Roman" w:hAnsi="Times New Roman"/>
          <w:bCs/>
        </w:rPr>
        <w:t xml:space="preserve">iegūstot augstāko punktu kopvērtējumu – </w:t>
      </w:r>
      <w:r w:rsidRPr="005C265E">
        <w:rPr>
          <w:rFonts w:ascii="Times New Roman" w:hAnsi="Times New Roman"/>
          <w:b/>
        </w:rPr>
        <w:t>162,60</w:t>
      </w:r>
      <w:r w:rsidRPr="005C265E">
        <w:rPr>
          <w:rFonts w:ascii="Times New Roman" w:hAnsi="Times New Roman"/>
        </w:rPr>
        <w:t xml:space="preserve"> (viens simts sešdesmit divi, komats, sešdesmit) </w:t>
      </w:r>
      <w:r w:rsidRPr="005C265E">
        <w:rPr>
          <w:rFonts w:ascii="Times New Roman" w:hAnsi="Times New Roman"/>
          <w:bCs/>
        </w:rPr>
        <w:t>punktus</w:t>
      </w:r>
      <w:r w:rsidRPr="005C265E">
        <w:rPr>
          <w:rFonts w:ascii="Times New Roman" w:hAnsi="Times New Roman"/>
          <w:bCs/>
          <w:lang w:eastAsia="lv-LV"/>
        </w:rPr>
        <w:t>, un piešķirt tam līguma slēgšanas tiesības;</w:t>
      </w:r>
    </w:p>
    <w:p w:rsidR="005C265E" w:rsidRPr="005C265E" w:rsidRDefault="005C265E" w:rsidP="005C265E">
      <w:pPr>
        <w:numPr>
          <w:ilvl w:val="1"/>
          <w:numId w:val="3"/>
        </w:numPr>
        <w:spacing w:line="276" w:lineRule="auto"/>
        <w:jc w:val="both"/>
        <w:rPr>
          <w:rFonts w:ascii="Times New Roman" w:hAnsi="Times New Roman"/>
        </w:rPr>
      </w:pPr>
      <w:r w:rsidRPr="005C265E">
        <w:rPr>
          <w:rFonts w:ascii="Times New Roman" w:hAnsi="Times New Roman"/>
          <w:b/>
          <w:iCs/>
        </w:rPr>
        <w:t>izslēgt pretendentu SIA “DEXT” no turpmākas dalības Iepirkumā</w:t>
      </w:r>
      <w:r w:rsidRPr="005C265E">
        <w:rPr>
          <w:rFonts w:ascii="Times New Roman" w:hAnsi="Times New Roman"/>
          <w:iCs/>
        </w:rPr>
        <w:t xml:space="preserve"> un tā piedāvājumu tālāk nevērtēt, jo pretendentam SIA “DEXT” uz piedāvājumu iesniegšanas dienu (11.07.2017.) bija nodokļu parādi, </w:t>
      </w:r>
      <w:r w:rsidRPr="005C265E">
        <w:rPr>
          <w:rFonts w:ascii="Times New Roman" w:hAnsi="Times New Roman"/>
        </w:rPr>
        <w:t xml:space="preserve">tai skaitā valsts sociālās apdrošināšanas obligāto iemaksu parādu, kas kopsummā pārsniedz 150 </w:t>
      </w:r>
      <w:proofErr w:type="spellStart"/>
      <w:r w:rsidRPr="005C265E">
        <w:rPr>
          <w:rFonts w:ascii="Times New Roman" w:hAnsi="Times New Roman"/>
          <w:i/>
          <w:iCs/>
        </w:rPr>
        <w:t>euro</w:t>
      </w:r>
      <w:proofErr w:type="spellEnd"/>
      <w:r w:rsidRPr="005C265E">
        <w:rPr>
          <w:rFonts w:ascii="Times New Roman" w:hAnsi="Times New Roman"/>
          <w:i/>
          <w:iCs/>
        </w:rPr>
        <w:t>;</w:t>
      </w:r>
    </w:p>
    <w:p w:rsidR="005C265E" w:rsidRPr="005C265E" w:rsidRDefault="005C265E" w:rsidP="005C265E">
      <w:pPr>
        <w:numPr>
          <w:ilvl w:val="1"/>
          <w:numId w:val="3"/>
        </w:numPr>
        <w:spacing w:line="276" w:lineRule="auto"/>
        <w:jc w:val="both"/>
        <w:rPr>
          <w:rFonts w:ascii="Times New Roman" w:hAnsi="Times New Roman"/>
        </w:rPr>
      </w:pPr>
      <w:r w:rsidRPr="005C265E">
        <w:rPr>
          <w:rFonts w:ascii="Times New Roman" w:hAnsi="Times New Roman"/>
          <w:b/>
        </w:rPr>
        <w:t xml:space="preserve">noraidīt pretendenta SIA “DUE” piedāvājumu un to tālāk nevērtēt, </w:t>
      </w:r>
      <w:r w:rsidRPr="005C265E">
        <w:rPr>
          <w:rFonts w:ascii="Times New Roman" w:hAnsi="Times New Roman"/>
        </w:rPr>
        <w:t>jo Komisijai radušās pamatotas šaubas par pretendenta SIA “DUE” piedāvātās cenas pamatotību un spēju izpildīt Iepirkuma līgumu;</w:t>
      </w:r>
    </w:p>
    <w:p w:rsidR="005C265E" w:rsidRPr="005C265E" w:rsidRDefault="005C265E" w:rsidP="005C265E">
      <w:pPr>
        <w:numPr>
          <w:ilvl w:val="1"/>
          <w:numId w:val="3"/>
        </w:numPr>
        <w:spacing w:line="276" w:lineRule="auto"/>
        <w:jc w:val="both"/>
        <w:rPr>
          <w:rFonts w:ascii="Times New Roman" w:hAnsi="Times New Roman"/>
        </w:rPr>
      </w:pPr>
      <w:r w:rsidRPr="005C265E">
        <w:rPr>
          <w:rFonts w:ascii="Times New Roman" w:hAnsi="Times New Roman"/>
        </w:rPr>
        <w:t>triju darba dienu laikā pēc lēmuma pieņemšanas informēt visus pretendentus par Iepirkumā izraudzītajiem uzvarētājiem un Latvijas Universitātes mājaslapā internetā nodrošināt brīvu un tiešu elektronisku pieeju šim lēmumam;</w:t>
      </w:r>
    </w:p>
    <w:p w:rsidR="005C265E" w:rsidRPr="005C265E" w:rsidRDefault="005C265E" w:rsidP="005C265E">
      <w:pPr>
        <w:numPr>
          <w:ilvl w:val="1"/>
          <w:numId w:val="3"/>
        </w:numPr>
        <w:spacing w:line="276" w:lineRule="auto"/>
        <w:jc w:val="both"/>
        <w:rPr>
          <w:rFonts w:ascii="Times New Roman" w:hAnsi="Times New Roman"/>
        </w:rPr>
      </w:pPr>
      <w:r w:rsidRPr="005C265E">
        <w:rPr>
          <w:rFonts w:ascii="Times New Roman" w:hAnsi="Times New Roman"/>
        </w:rPr>
        <w:t>ne vēlāk kā desmit darbdienu laikā pēc tam, kad noslēgts Iepirkuma līgums attiecīgajā Iepirkuma priekšmeta daļā, publicēt Iepirkumu uzraudzības biroja mājaslapā internetā informatīvu paziņojumu par noslēgto līgumu;</w:t>
      </w:r>
    </w:p>
    <w:p w:rsidR="005C265E" w:rsidRPr="005C265E" w:rsidRDefault="005C265E" w:rsidP="005C265E">
      <w:pPr>
        <w:numPr>
          <w:ilvl w:val="1"/>
          <w:numId w:val="3"/>
        </w:numPr>
        <w:spacing w:line="276" w:lineRule="auto"/>
        <w:jc w:val="both"/>
        <w:rPr>
          <w:rFonts w:ascii="Times New Roman" w:hAnsi="Times New Roman"/>
        </w:rPr>
      </w:pPr>
      <w:r w:rsidRPr="005C265E">
        <w:rPr>
          <w:rFonts w:ascii="Times New Roman" w:hAnsi="Times New Roman"/>
        </w:rPr>
        <w:t>ne vēlāk kā desmit darbdienu laikā pēc tam, kad stājas spēkā Iepirkuma līgums attiecīgajā Iepirkuma priekšmeta daļā, Latvijas Universitātes mājaslapā ievietot Iepirkuma līguma tekstu, atbilstoši normatīvajos aktos noteiktajai kārtībai ievērojot komercnoslēpuma aizsardzības prasības.</w:t>
      </w:r>
    </w:p>
    <w:p w:rsidR="007F1D8D" w:rsidRPr="005C265E" w:rsidRDefault="005C265E" w:rsidP="005C265E">
      <w:pPr>
        <w:pStyle w:val="ListParagraph"/>
        <w:numPr>
          <w:ilvl w:val="0"/>
          <w:numId w:val="3"/>
        </w:numPr>
        <w:ind w:left="567" w:right="-625" w:hanging="425"/>
        <w:jc w:val="both"/>
        <w:rPr>
          <w:rFonts w:ascii="Times New Roman" w:hAnsi="Times New Roman"/>
        </w:rPr>
      </w:pPr>
      <w:r w:rsidRPr="005C265E">
        <w:rPr>
          <w:rFonts w:ascii="Times New Roman" w:hAnsi="Times New Roman"/>
        </w:rPr>
        <w:t xml:space="preserve">Pretendents, kurš iesniedzis piedāvājumu iepirkumā, uz ko attiecas šā panta noteikumi, un kurš uzskata, ka ir aizskartas tā tiesības vai ir iespējams šo tiesību aizskārums, ir tiesīgs pārsūdzēt pieņemto lēmumu Administratīvajā rajona tiesā </w:t>
      </w:r>
      <w:hyperlink r:id="rId13" w:tgtFrame="_blank" w:history="1">
        <w:r w:rsidRPr="005C265E">
          <w:rPr>
            <w:rStyle w:val="Hyperlink"/>
            <w:rFonts w:ascii="Times New Roman" w:hAnsi="Times New Roman"/>
            <w:color w:val="auto"/>
            <w:u w:val="none"/>
          </w:rPr>
          <w:t>Administratīvā procesa likumā</w:t>
        </w:r>
      </w:hyperlink>
      <w:r w:rsidRPr="005C265E">
        <w:rPr>
          <w:rFonts w:ascii="Times New Roman" w:hAnsi="Times New Roman"/>
        </w:rPr>
        <w:t xml:space="preserve"> noteiktajā kārtībā mēneša laikā no lēmuma saņemšanas dienas. Administratīvās rajona tiesas nolēmumu var pārsūdzēt kasācijas kārtībā Augstākās tiesas Administratīvo lietu departamentā. Lēmuma pārsūdzēšana neaptur tā darbību.</w:t>
      </w:r>
    </w:p>
    <w:tbl>
      <w:tblPr>
        <w:tblW w:w="9180" w:type="dxa"/>
        <w:tblLook w:val="04A0" w:firstRow="1" w:lastRow="0" w:firstColumn="1" w:lastColumn="0" w:noHBand="0" w:noVBand="1"/>
      </w:tblPr>
      <w:tblGrid>
        <w:gridCol w:w="4167"/>
        <w:gridCol w:w="3029"/>
        <w:gridCol w:w="1984"/>
      </w:tblGrid>
      <w:tr w:rsidR="00C83699" w:rsidRPr="00C83699" w:rsidTr="00C03A23">
        <w:trPr>
          <w:trHeight w:val="567"/>
        </w:trPr>
        <w:tc>
          <w:tcPr>
            <w:tcW w:w="4167" w:type="dxa"/>
            <w:shd w:val="clear" w:color="auto" w:fill="auto"/>
          </w:tcPr>
          <w:p w:rsidR="00C83699" w:rsidRPr="00C83699" w:rsidRDefault="00C83699" w:rsidP="00C03A23">
            <w:pPr>
              <w:spacing w:before="240"/>
              <w:rPr>
                <w:rFonts w:ascii="Times New Roman" w:hAnsi="Times New Roman"/>
              </w:rPr>
            </w:pPr>
            <w:r w:rsidRPr="00C83699">
              <w:rPr>
                <w:rFonts w:ascii="Times New Roman" w:hAnsi="Times New Roman"/>
              </w:rPr>
              <w:t>Komisijas priekšsēdētāja:</w:t>
            </w:r>
          </w:p>
        </w:tc>
        <w:tc>
          <w:tcPr>
            <w:tcW w:w="3029" w:type="dxa"/>
            <w:tcBorders>
              <w:bottom w:val="single" w:sz="4" w:space="0" w:color="auto"/>
            </w:tcBorders>
            <w:shd w:val="clear" w:color="auto" w:fill="auto"/>
          </w:tcPr>
          <w:p w:rsidR="00C83699" w:rsidRPr="00593528" w:rsidRDefault="00593528" w:rsidP="00F0773B">
            <w:pPr>
              <w:spacing w:before="240"/>
              <w:jc w:val="center"/>
              <w:rPr>
                <w:rFonts w:ascii="Times New Roman" w:hAnsi="Times New Roman"/>
                <w:i/>
                <w:sz w:val="20"/>
                <w:szCs w:val="20"/>
              </w:rPr>
            </w:pPr>
            <w:r w:rsidRPr="00593528">
              <w:rPr>
                <w:rFonts w:ascii="Times New Roman" w:hAnsi="Times New Roman"/>
                <w:i/>
                <w:sz w:val="20"/>
                <w:szCs w:val="20"/>
              </w:rPr>
              <w:t>(personiskais paraksts)</w:t>
            </w:r>
          </w:p>
        </w:tc>
        <w:tc>
          <w:tcPr>
            <w:tcW w:w="1984" w:type="dxa"/>
            <w:shd w:val="clear" w:color="auto" w:fill="auto"/>
          </w:tcPr>
          <w:p w:rsidR="00C83699" w:rsidRPr="00C83699" w:rsidRDefault="00C83699" w:rsidP="00C03A23">
            <w:pPr>
              <w:spacing w:before="240"/>
              <w:jc w:val="both"/>
              <w:rPr>
                <w:rFonts w:ascii="Times New Roman" w:hAnsi="Times New Roman"/>
              </w:rPr>
            </w:pPr>
            <w:r w:rsidRPr="00C83699">
              <w:rPr>
                <w:rFonts w:ascii="Times New Roman" w:hAnsi="Times New Roman"/>
              </w:rPr>
              <w:t>/B. Broka/</w:t>
            </w:r>
          </w:p>
        </w:tc>
      </w:tr>
      <w:tr w:rsidR="00C83699" w:rsidRPr="00C83699" w:rsidTr="00C03A23">
        <w:trPr>
          <w:trHeight w:val="567"/>
        </w:trPr>
        <w:tc>
          <w:tcPr>
            <w:tcW w:w="4167" w:type="dxa"/>
            <w:shd w:val="clear" w:color="auto" w:fill="auto"/>
          </w:tcPr>
          <w:p w:rsidR="00C83699" w:rsidRPr="00C83699" w:rsidRDefault="00C83699" w:rsidP="00C03A23">
            <w:pPr>
              <w:spacing w:before="240"/>
              <w:rPr>
                <w:rFonts w:ascii="Times New Roman" w:hAnsi="Times New Roman"/>
              </w:rPr>
            </w:pPr>
            <w:r w:rsidRPr="00C83699">
              <w:rPr>
                <w:rFonts w:ascii="Times New Roman" w:hAnsi="Times New Roman"/>
              </w:rPr>
              <w:t>Komisijas priekšsēdētājas vietniece:</w:t>
            </w:r>
          </w:p>
        </w:tc>
        <w:tc>
          <w:tcPr>
            <w:tcW w:w="3029" w:type="dxa"/>
            <w:tcBorders>
              <w:bottom w:val="single" w:sz="4" w:space="0" w:color="auto"/>
            </w:tcBorders>
            <w:shd w:val="clear" w:color="auto" w:fill="auto"/>
          </w:tcPr>
          <w:p w:rsidR="00C83699" w:rsidRPr="00C83699" w:rsidRDefault="00593528" w:rsidP="00F0773B">
            <w:pPr>
              <w:spacing w:before="240"/>
              <w:jc w:val="center"/>
              <w:rPr>
                <w:rFonts w:ascii="Times New Roman" w:hAnsi="Times New Roman"/>
              </w:rPr>
            </w:pPr>
            <w:r w:rsidRPr="00593528">
              <w:rPr>
                <w:rFonts w:ascii="Times New Roman" w:hAnsi="Times New Roman"/>
                <w:i/>
                <w:sz w:val="20"/>
                <w:szCs w:val="20"/>
              </w:rPr>
              <w:t>(personiskais paraksts)</w:t>
            </w:r>
          </w:p>
        </w:tc>
        <w:tc>
          <w:tcPr>
            <w:tcW w:w="1984" w:type="dxa"/>
            <w:shd w:val="clear" w:color="auto" w:fill="auto"/>
          </w:tcPr>
          <w:p w:rsidR="00C83699" w:rsidRPr="00C83699" w:rsidRDefault="00C83699" w:rsidP="00C03A23">
            <w:pPr>
              <w:spacing w:before="240"/>
              <w:jc w:val="both"/>
              <w:rPr>
                <w:rFonts w:ascii="Times New Roman" w:hAnsi="Times New Roman"/>
              </w:rPr>
            </w:pPr>
            <w:r w:rsidRPr="00C83699">
              <w:rPr>
                <w:rFonts w:ascii="Times New Roman" w:hAnsi="Times New Roman"/>
              </w:rPr>
              <w:t>/A. Ozola/</w:t>
            </w:r>
          </w:p>
        </w:tc>
      </w:tr>
      <w:tr w:rsidR="00C83699" w:rsidRPr="00C83699" w:rsidTr="00C03A23">
        <w:trPr>
          <w:trHeight w:val="567"/>
        </w:trPr>
        <w:tc>
          <w:tcPr>
            <w:tcW w:w="4167" w:type="dxa"/>
            <w:shd w:val="clear" w:color="auto" w:fill="auto"/>
          </w:tcPr>
          <w:p w:rsidR="00C83699" w:rsidRPr="00C83699" w:rsidRDefault="00C83699" w:rsidP="00C03A23">
            <w:pPr>
              <w:spacing w:before="240"/>
              <w:rPr>
                <w:rFonts w:ascii="Times New Roman" w:hAnsi="Times New Roman"/>
              </w:rPr>
            </w:pPr>
            <w:r w:rsidRPr="00C83699">
              <w:rPr>
                <w:rFonts w:ascii="Times New Roman" w:hAnsi="Times New Roman"/>
              </w:rPr>
              <w:t>Komisijas locekļi:</w:t>
            </w:r>
          </w:p>
        </w:tc>
        <w:tc>
          <w:tcPr>
            <w:tcW w:w="3029" w:type="dxa"/>
            <w:tcBorders>
              <w:top w:val="single" w:sz="4" w:space="0" w:color="auto"/>
              <w:bottom w:val="single" w:sz="4" w:space="0" w:color="auto"/>
            </w:tcBorders>
            <w:shd w:val="clear" w:color="auto" w:fill="auto"/>
          </w:tcPr>
          <w:p w:rsidR="00C83699" w:rsidRPr="00C83699" w:rsidRDefault="00593528" w:rsidP="00F0773B">
            <w:pPr>
              <w:spacing w:before="240"/>
              <w:jc w:val="center"/>
              <w:rPr>
                <w:rFonts w:ascii="Times New Roman" w:hAnsi="Times New Roman"/>
              </w:rPr>
            </w:pPr>
            <w:r w:rsidRPr="00593528">
              <w:rPr>
                <w:rFonts w:ascii="Times New Roman" w:hAnsi="Times New Roman"/>
                <w:i/>
                <w:sz w:val="20"/>
                <w:szCs w:val="20"/>
              </w:rPr>
              <w:t>(personiskais paraksts)</w:t>
            </w:r>
          </w:p>
        </w:tc>
        <w:tc>
          <w:tcPr>
            <w:tcW w:w="1984" w:type="dxa"/>
            <w:shd w:val="clear" w:color="auto" w:fill="auto"/>
          </w:tcPr>
          <w:p w:rsidR="00C83699" w:rsidRPr="00C83699" w:rsidRDefault="00C83699" w:rsidP="001F09F7">
            <w:pPr>
              <w:spacing w:before="240"/>
              <w:jc w:val="both"/>
              <w:rPr>
                <w:rFonts w:ascii="Times New Roman" w:hAnsi="Times New Roman"/>
              </w:rPr>
            </w:pPr>
            <w:r w:rsidRPr="00C83699">
              <w:rPr>
                <w:rFonts w:ascii="Times New Roman" w:hAnsi="Times New Roman"/>
              </w:rPr>
              <w:t>/A. </w:t>
            </w:r>
            <w:r w:rsidR="001F09F7">
              <w:rPr>
                <w:rFonts w:ascii="Times New Roman" w:hAnsi="Times New Roman"/>
              </w:rPr>
              <w:t>Brakša</w:t>
            </w:r>
            <w:r w:rsidRPr="00C83699">
              <w:rPr>
                <w:rFonts w:ascii="Times New Roman" w:hAnsi="Times New Roman"/>
              </w:rPr>
              <w:t>/</w:t>
            </w:r>
          </w:p>
        </w:tc>
      </w:tr>
      <w:tr w:rsidR="001F09F7" w:rsidRPr="00C83699" w:rsidTr="00C03A23">
        <w:trPr>
          <w:trHeight w:val="567"/>
        </w:trPr>
        <w:tc>
          <w:tcPr>
            <w:tcW w:w="4167" w:type="dxa"/>
            <w:shd w:val="clear" w:color="auto" w:fill="auto"/>
          </w:tcPr>
          <w:p w:rsidR="001F09F7" w:rsidRPr="00C83699" w:rsidRDefault="001F09F7" w:rsidP="00C03A23">
            <w:pPr>
              <w:spacing w:before="240"/>
              <w:rPr>
                <w:rFonts w:ascii="Times New Roman" w:hAnsi="Times New Roman"/>
              </w:rPr>
            </w:pPr>
          </w:p>
        </w:tc>
        <w:tc>
          <w:tcPr>
            <w:tcW w:w="3029" w:type="dxa"/>
            <w:tcBorders>
              <w:top w:val="single" w:sz="4" w:space="0" w:color="auto"/>
              <w:bottom w:val="single" w:sz="4" w:space="0" w:color="auto"/>
            </w:tcBorders>
            <w:shd w:val="clear" w:color="auto" w:fill="auto"/>
          </w:tcPr>
          <w:p w:rsidR="001F09F7" w:rsidRPr="009F1579" w:rsidRDefault="00593528" w:rsidP="00F0773B">
            <w:pPr>
              <w:spacing w:before="240"/>
              <w:jc w:val="center"/>
              <w:rPr>
                <w:rFonts w:ascii="Times New Roman" w:hAnsi="Times New Roman"/>
                <w:i/>
              </w:rPr>
            </w:pPr>
            <w:r w:rsidRPr="00593528">
              <w:rPr>
                <w:rFonts w:ascii="Times New Roman" w:hAnsi="Times New Roman"/>
                <w:i/>
                <w:sz w:val="20"/>
                <w:szCs w:val="20"/>
              </w:rPr>
              <w:t>(personiskais paraksts)</w:t>
            </w:r>
          </w:p>
        </w:tc>
        <w:tc>
          <w:tcPr>
            <w:tcW w:w="1984" w:type="dxa"/>
            <w:shd w:val="clear" w:color="auto" w:fill="auto"/>
          </w:tcPr>
          <w:p w:rsidR="001F09F7" w:rsidRPr="00C83699" w:rsidRDefault="001F09F7" w:rsidP="001F09F7">
            <w:pPr>
              <w:spacing w:before="240"/>
              <w:jc w:val="both"/>
              <w:rPr>
                <w:rFonts w:ascii="Times New Roman" w:hAnsi="Times New Roman"/>
              </w:rPr>
            </w:pPr>
            <w:r>
              <w:rPr>
                <w:rFonts w:ascii="Times New Roman" w:hAnsi="Times New Roman"/>
              </w:rPr>
              <w:t>/A. </w:t>
            </w:r>
            <w:proofErr w:type="spellStart"/>
            <w:r>
              <w:rPr>
                <w:rFonts w:ascii="Times New Roman" w:hAnsi="Times New Roman"/>
              </w:rPr>
              <w:t>Andržejevska</w:t>
            </w:r>
            <w:proofErr w:type="spellEnd"/>
            <w:r>
              <w:rPr>
                <w:rFonts w:ascii="Times New Roman" w:hAnsi="Times New Roman"/>
              </w:rPr>
              <w:t>/</w:t>
            </w:r>
          </w:p>
        </w:tc>
      </w:tr>
      <w:tr w:rsidR="00C83699" w:rsidRPr="00C83699" w:rsidTr="00C03A23">
        <w:trPr>
          <w:trHeight w:val="567"/>
        </w:trPr>
        <w:tc>
          <w:tcPr>
            <w:tcW w:w="4167" w:type="dxa"/>
            <w:shd w:val="clear" w:color="auto" w:fill="auto"/>
          </w:tcPr>
          <w:p w:rsidR="00C83699" w:rsidRPr="00C83699" w:rsidRDefault="00C83699" w:rsidP="00C03A23">
            <w:pPr>
              <w:spacing w:before="240"/>
              <w:rPr>
                <w:rFonts w:ascii="Times New Roman" w:hAnsi="Times New Roman"/>
              </w:rPr>
            </w:pPr>
          </w:p>
        </w:tc>
        <w:tc>
          <w:tcPr>
            <w:tcW w:w="3029" w:type="dxa"/>
            <w:tcBorders>
              <w:top w:val="single" w:sz="4" w:space="0" w:color="auto"/>
              <w:bottom w:val="single" w:sz="4" w:space="0" w:color="auto"/>
            </w:tcBorders>
            <w:shd w:val="clear" w:color="auto" w:fill="auto"/>
          </w:tcPr>
          <w:p w:rsidR="00C83699" w:rsidRPr="00C83699" w:rsidRDefault="00593528" w:rsidP="00F0773B">
            <w:pPr>
              <w:spacing w:before="240"/>
              <w:jc w:val="center"/>
              <w:rPr>
                <w:rFonts w:ascii="Times New Roman" w:hAnsi="Times New Roman"/>
              </w:rPr>
            </w:pPr>
            <w:r w:rsidRPr="00593528">
              <w:rPr>
                <w:rFonts w:ascii="Times New Roman" w:hAnsi="Times New Roman"/>
                <w:i/>
                <w:sz w:val="20"/>
                <w:szCs w:val="20"/>
              </w:rPr>
              <w:t>(personiskais paraksts)</w:t>
            </w:r>
            <w:bookmarkStart w:id="0" w:name="_GoBack"/>
            <w:bookmarkEnd w:id="0"/>
          </w:p>
        </w:tc>
        <w:tc>
          <w:tcPr>
            <w:tcW w:w="1984" w:type="dxa"/>
            <w:shd w:val="clear" w:color="auto" w:fill="auto"/>
          </w:tcPr>
          <w:p w:rsidR="00C83699" w:rsidRPr="00C83699" w:rsidRDefault="00173AE6" w:rsidP="00C03A23">
            <w:pPr>
              <w:spacing w:before="240"/>
              <w:jc w:val="both"/>
              <w:rPr>
                <w:rFonts w:ascii="Times New Roman" w:hAnsi="Times New Roman"/>
              </w:rPr>
            </w:pPr>
            <w:r>
              <w:rPr>
                <w:rFonts w:ascii="Times New Roman" w:hAnsi="Times New Roman"/>
              </w:rPr>
              <w:t>/S. </w:t>
            </w:r>
            <w:r w:rsidR="00C83699" w:rsidRPr="00C83699">
              <w:rPr>
                <w:rFonts w:ascii="Times New Roman" w:hAnsi="Times New Roman"/>
              </w:rPr>
              <w:t>Ulmane/</w:t>
            </w:r>
          </w:p>
        </w:tc>
      </w:tr>
    </w:tbl>
    <w:p w:rsidR="008973FD" w:rsidRPr="00551D4F" w:rsidRDefault="008973FD" w:rsidP="00540A54">
      <w:pPr>
        <w:spacing w:line="360" w:lineRule="auto"/>
        <w:ind w:right="-1192"/>
        <w:rPr>
          <w:rFonts w:ascii="Times New Roman" w:hAnsi="Times New Roman"/>
        </w:rPr>
      </w:pPr>
    </w:p>
    <w:sectPr w:rsidR="008973FD" w:rsidRPr="00551D4F" w:rsidSect="00170B0F">
      <w:footerReference w:type="default" r:id="rId14"/>
      <w:head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140" w:rsidRDefault="000D7140" w:rsidP="006033D8">
      <w:r>
        <w:separator/>
      </w:r>
    </w:p>
  </w:endnote>
  <w:endnote w:type="continuationSeparator" w:id="0">
    <w:p w:rsidR="000D7140" w:rsidRDefault="000D7140"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CA7CAC">
          <w:rPr>
            <w:rFonts w:ascii="Times New Roman" w:hAnsi="Times New Roman"/>
            <w:noProof/>
          </w:rPr>
          <w:t>4</w:t>
        </w:r>
        <w:r w:rsidRPr="006033D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140" w:rsidRDefault="000D7140" w:rsidP="006033D8">
      <w:r>
        <w:separator/>
      </w:r>
    </w:p>
  </w:footnote>
  <w:footnote w:type="continuationSeparator" w:id="0">
    <w:p w:rsidR="000D7140" w:rsidRDefault="000D7140" w:rsidP="00603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73B" w:rsidRPr="00F0773B" w:rsidRDefault="00593528" w:rsidP="00F0773B">
    <w:pPr>
      <w:pStyle w:val="Header"/>
      <w:jc w:val="right"/>
      <w:rPr>
        <w:rFonts w:ascii="Times New Roman" w:hAnsi="Times New Roman"/>
        <w:b/>
      </w:rPr>
    </w:pPr>
    <w:r>
      <w:rPr>
        <w:rFonts w:ascii="Times New Roman" w:hAnsi="Times New Roman"/>
        <w:b/>
      </w:rPr>
      <w:t>NORAKSTS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AAE1B68"/>
    <w:multiLevelType w:val="multilevel"/>
    <w:tmpl w:val="9F3C364C"/>
    <w:lvl w:ilvl="0">
      <w:start w:val="1"/>
      <w:numFmt w:val="decimal"/>
      <w:lvlText w:val="%1."/>
      <w:lvlJc w:val="left"/>
      <w:pPr>
        <w:ind w:left="540" w:hanging="540"/>
      </w:pPr>
      <w:rPr>
        <w:rFonts w:ascii="Times New Roman" w:eastAsia="Times New Roman" w:hAnsi="Times New Roman" w:cs="Times New Roman"/>
        <w:b/>
      </w:rPr>
    </w:lvl>
    <w:lvl w:ilvl="1">
      <w:start w:val="1"/>
      <w:numFmt w:val="decimal"/>
      <w:lvlText w:val="%1.%2."/>
      <w:lvlJc w:val="left"/>
      <w:pPr>
        <w:ind w:left="1080" w:hanging="540"/>
      </w:pPr>
      <w:rPr>
        <w:rFonts w:hint="default"/>
        <w:b/>
      </w:rPr>
    </w:lvl>
    <w:lvl w:ilvl="2">
      <w:start w:val="2"/>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561C69"/>
    <w:multiLevelType w:val="multilevel"/>
    <w:tmpl w:val="2EB892F8"/>
    <w:lvl w:ilvl="0">
      <w:start w:val="1"/>
      <w:numFmt w:val="decimal"/>
      <w:lvlText w:val="%1."/>
      <w:lvlJc w:val="left"/>
      <w:pPr>
        <w:ind w:left="720" w:hanging="360"/>
      </w:pPr>
      <w:rPr>
        <w:rFonts w:hint="default"/>
        <w:b/>
      </w:rPr>
    </w:lvl>
    <w:lvl w:ilvl="1">
      <w:start w:val="1"/>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5B27BDD"/>
    <w:multiLevelType w:val="hybridMultilevel"/>
    <w:tmpl w:val="212028B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17D33A5"/>
    <w:multiLevelType w:val="multilevel"/>
    <w:tmpl w:val="5C16437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1142"/>
        </w:tabs>
        <w:ind w:left="1142"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5181B37"/>
    <w:multiLevelType w:val="hybridMultilevel"/>
    <w:tmpl w:val="7500E5D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049768C"/>
    <w:multiLevelType w:val="hybridMultilevel"/>
    <w:tmpl w:val="63A2B72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2"/>
  </w:num>
  <w:num w:numId="5">
    <w:abstractNumId w:val="8"/>
  </w:num>
  <w:num w:numId="6">
    <w:abstractNumId w:val="10"/>
  </w:num>
  <w:num w:numId="7">
    <w:abstractNumId w:val="4"/>
  </w:num>
  <w:num w:numId="8">
    <w:abstractNumId w:val="1"/>
  </w:num>
  <w:num w:numId="9">
    <w:abstractNumId w:val="0"/>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6"/>
  </w:num>
  <w:num w:numId="16">
    <w:abstractNumId w:val="15"/>
  </w:num>
  <w:num w:numId="17">
    <w:abstractNumId w:val="11"/>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0079E"/>
    <w:rsid w:val="000101B3"/>
    <w:rsid w:val="000213E6"/>
    <w:rsid w:val="000305BA"/>
    <w:rsid w:val="0003443F"/>
    <w:rsid w:val="00047735"/>
    <w:rsid w:val="00050D81"/>
    <w:rsid w:val="0006653A"/>
    <w:rsid w:val="0007019F"/>
    <w:rsid w:val="00070BBC"/>
    <w:rsid w:val="000851CC"/>
    <w:rsid w:val="000857D6"/>
    <w:rsid w:val="00092D29"/>
    <w:rsid w:val="000A3901"/>
    <w:rsid w:val="000B57B5"/>
    <w:rsid w:val="000C154A"/>
    <w:rsid w:val="000D43E8"/>
    <w:rsid w:val="000D43EF"/>
    <w:rsid w:val="000D7140"/>
    <w:rsid w:val="000F2CC0"/>
    <w:rsid w:val="00100551"/>
    <w:rsid w:val="00100C9C"/>
    <w:rsid w:val="00102B8F"/>
    <w:rsid w:val="00115D02"/>
    <w:rsid w:val="00116E28"/>
    <w:rsid w:val="00167D94"/>
    <w:rsid w:val="00170B0F"/>
    <w:rsid w:val="001737AC"/>
    <w:rsid w:val="00173AE6"/>
    <w:rsid w:val="00196880"/>
    <w:rsid w:val="001A112A"/>
    <w:rsid w:val="001A76B4"/>
    <w:rsid w:val="001B0CA3"/>
    <w:rsid w:val="001B5054"/>
    <w:rsid w:val="001B6392"/>
    <w:rsid w:val="001D1555"/>
    <w:rsid w:val="001E1C8A"/>
    <w:rsid w:val="001F09F7"/>
    <w:rsid w:val="001F31CE"/>
    <w:rsid w:val="00207651"/>
    <w:rsid w:val="0021316E"/>
    <w:rsid w:val="00220A90"/>
    <w:rsid w:val="00226C62"/>
    <w:rsid w:val="00230887"/>
    <w:rsid w:val="00241856"/>
    <w:rsid w:val="0024340B"/>
    <w:rsid w:val="00245295"/>
    <w:rsid w:val="002453E0"/>
    <w:rsid w:val="002466F7"/>
    <w:rsid w:val="00257A0B"/>
    <w:rsid w:val="002638B8"/>
    <w:rsid w:val="00267A3F"/>
    <w:rsid w:val="00272C93"/>
    <w:rsid w:val="00290B16"/>
    <w:rsid w:val="0029123B"/>
    <w:rsid w:val="00296863"/>
    <w:rsid w:val="002B597C"/>
    <w:rsid w:val="002C4E9E"/>
    <w:rsid w:val="002E1CAE"/>
    <w:rsid w:val="002E6776"/>
    <w:rsid w:val="002E765C"/>
    <w:rsid w:val="00312122"/>
    <w:rsid w:val="00324616"/>
    <w:rsid w:val="003326E9"/>
    <w:rsid w:val="00334F94"/>
    <w:rsid w:val="00361A7E"/>
    <w:rsid w:val="00361EC5"/>
    <w:rsid w:val="00365D1C"/>
    <w:rsid w:val="003749C1"/>
    <w:rsid w:val="0038727C"/>
    <w:rsid w:val="00391387"/>
    <w:rsid w:val="003A3D78"/>
    <w:rsid w:val="003A7EB7"/>
    <w:rsid w:val="003C122B"/>
    <w:rsid w:val="003C25D6"/>
    <w:rsid w:val="003C5192"/>
    <w:rsid w:val="003C7D90"/>
    <w:rsid w:val="003F58C7"/>
    <w:rsid w:val="00407C29"/>
    <w:rsid w:val="00434345"/>
    <w:rsid w:val="004357CF"/>
    <w:rsid w:val="00461E31"/>
    <w:rsid w:val="00463096"/>
    <w:rsid w:val="00465086"/>
    <w:rsid w:val="00481F8F"/>
    <w:rsid w:val="00490CC3"/>
    <w:rsid w:val="004A5134"/>
    <w:rsid w:val="004B537D"/>
    <w:rsid w:val="004B763D"/>
    <w:rsid w:val="004E2E99"/>
    <w:rsid w:val="004F2020"/>
    <w:rsid w:val="00501D73"/>
    <w:rsid w:val="00506ACF"/>
    <w:rsid w:val="00527289"/>
    <w:rsid w:val="00540A54"/>
    <w:rsid w:val="00551D4F"/>
    <w:rsid w:val="00557DBF"/>
    <w:rsid w:val="00560B28"/>
    <w:rsid w:val="005703B4"/>
    <w:rsid w:val="00584934"/>
    <w:rsid w:val="00593528"/>
    <w:rsid w:val="005A3FC7"/>
    <w:rsid w:val="005A54B5"/>
    <w:rsid w:val="005A5D91"/>
    <w:rsid w:val="005C265E"/>
    <w:rsid w:val="005E1C6D"/>
    <w:rsid w:val="005E2BA0"/>
    <w:rsid w:val="005E6AA1"/>
    <w:rsid w:val="005F3B6D"/>
    <w:rsid w:val="00602FEF"/>
    <w:rsid w:val="006033D8"/>
    <w:rsid w:val="00605BD0"/>
    <w:rsid w:val="00610DC5"/>
    <w:rsid w:val="006160C6"/>
    <w:rsid w:val="006174B5"/>
    <w:rsid w:val="00622222"/>
    <w:rsid w:val="00630721"/>
    <w:rsid w:val="006328B3"/>
    <w:rsid w:val="006401D2"/>
    <w:rsid w:val="00646EC9"/>
    <w:rsid w:val="0065223C"/>
    <w:rsid w:val="00654C33"/>
    <w:rsid w:val="0065725F"/>
    <w:rsid w:val="00662ADF"/>
    <w:rsid w:val="006908B0"/>
    <w:rsid w:val="006A2717"/>
    <w:rsid w:val="006A3AB7"/>
    <w:rsid w:val="006B73C1"/>
    <w:rsid w:val="006C0D6D"/>
    <w:rsid w:val="006C5821"/>
    <w:rsid w:val="006E4C54"/>
    <w:rsid w:val="006F212C"/>
    <w:rsid w:val="006F447C"/>
    <w:rsid w:val="007124C1"/>
    <w:rsid w:val="007156D9"/>
    <w:rsid w:val="00725DD8"/>
    <w:rsid w:val="00732CEA"/>
    <w:rsid w:val="00746AB1"/>
    <w:rsid w:val="00754DB3"/>
    <w:rsid w:val="007628EF"/>
    <w:rsid w:val="00765C53"/>
    <w:rsid w:val="007676EE"/>
    <w:rsid w:val="00780872"/>
    <w:rsid w:val="00784817"/>
    <w:rsid w:val="007A6BB9"/>
    <w:rsid w:val="007B338A"/>
    <w:rsid w:val="007B6161"/>
    <w:rsid w:val="007C27E0"/>
    <w:rsid w:val="007E4633"/>
    <w:rsid w:val="007E7FB9"/>
    <w:rsid w:val="007F1D8D"/>
    <w:rsid w:val="007F58B2"/>
    <w:rsid w:val="008065D8"/>
    <w:rsid w:val="00807C5E"/>
    <w:rsid w:val="0081014D"/>
    <w:rsid w:val="00822F5A"/>
    <w:rsid w:val="008238FA"/>
    <w:rsid w:val="00830D77"/>
    <w:rsid w:val="008352E4"/>
    <w:rsid w:val="00836D87"/>
    <w:rsid w:val="00840EFD"/>
    <w:rsid w:val="008502CD"/>
    <w:rsid w:val="00851B4D"/>
    <w:rsid w:val="00861EC6"/>
    <w:rsid w:val="00862FA9"/>
    <w:rsid w:val="0087108C"/>
    <w:rsid w:val="0087766B"/>
    <w:rsid w:val="008840B8"/>
    <w:rsid w:val="00886A19"/>
    <w:rsid w:val="0088793E"/>
    <w:rsid w:val="0089129A"/>
    <w:rsid w:val="0089140D"/>
    <w:rsid w:val="008973FD"/>
    <w:rsid w:val="008A4B17"/>
    <w:rsid w:val="008A6A9A"/>
    <w:rsid w:val="008C69FD"/>
    <w:rsid w:val="008D1DB5"/>
    <w:rsid w:val="008F1610"/>
    <w:rsid w:val="008F1BAE"/>
    <w:rsid w:val="008F285B"/>
    <w:rsid w:val="00904E0F"/>
    <w:rsid w:val="00904F3D"/>
    <w:rsid w:val="0091124A"/>
    <w:rsid w:val="00930BB6"/>
    <w:rsid w:val="00934BC0"/>
    <w:rsid w:val="00935188"/>
    <w:rsid w:val="00935F91"/>
    <w:rsid w:val="00940C95"/>
    <w:rsid w:val="00943744"/>
    <w:rsid w:val="009606E9"/>
    <w:rsid w:val="009703B4"/>
    <w:rsid w:val="0097773B"/>
    <w:rsid w:val="00983349"/>
    <w:rsid w:val="009A4D65"/>
    <w:rsid w:val="009B5373"/>
    <w:rsid w:val="009C1A67"/>
    <w:rsid w:val="009C2BBB"/>
    <w:rsid w:val="009D228E"/>
    <w:rsid w:val="009D4781"/>
    <w:rsid w:val="009E6B23"/>
    <w:rsid w:val="009F6888"/>
    <w:rsid w:val="00A00A20"/>
    <w:rsid w:val="00A03EA2"/>
    <w:rsid w:val="00A05374"/>
    <w:rsid w:val="00A06ABD"/>
    <w:rsid w:val="00A110A7"/>
    <w:rsid w:val="00A12308"/>
    <w:rsid w:val="00A1289B"/>
    <w:rsid w:val="00A155F8"/>
    <w:rsid w:val="00A3209C"/>
    <w:rsid w:val="00A44D71"/>
    <w:rsid w:val="00A456B3"/>
    <w:rsid w:val="00A56720"/>
    <w:rsid w:val="00A625DF"/>
    <w:rsid w:val="00A75DF2"/>
    <w:rsid w:val="00A94B8B"/>
    <w:rsid w:val="00A96BA4"/>
    <w:rsid w:val="00AC21A3"/>
    <w:rsid w:val="00AE056A"/>
    <w:rsid w:val="00AE6829"/>
    <w:rsid w:val="00AF33F6"/>
    <w:rsid w:val="00AF7FBE"/>
    <w:rsid w:val="00B01811"/>
    <w:rsid w:val="00B0353E"/>
    <w:rsid w:val="00B12D92"/>
    <w:rsid w:val="00B14383"/>
    <w:rsid w:val="00B220C0"/>
    <w:rsid w:val="00B309D9"/>
    <w:rsid w:val="00B33BE6"/>
    <w:rsid w:val="00B3793C"/>
    <w:rsid w:val="00B42D18"/>
    <w:rsid w:val="00B63B91"/>
    <w:rsid w:val="00B6580B"/>
    <w:rsid w:val="00B762AF"/>
    <w:rsid w:val="00B7667D"/>
    <w:rsid w:val="00B8069E"/>
    <w:rsid w:val="00B83DD8"/>
    <w:rsid w:val="00B857E7"/>
    <w:rsid w:val="00B85A69"/>
    <w:rsid w:val="00B866B0"/>
    <w:rsid w:val="00B901E4"/>
    <w:rsid w:val="00BB3848"/>
    <w:rsid w:val="00BB7221"/>
    <w:rsid w:val="00BB7A2F"/>
    <w:rsid w:val="00BC26DC"/>
    <w:rsid w:val="00BC2FC7"/>
    <w:rsid w:val="00BD747B"/>
    <w:rsid w:val="00BE5191"/>
    <w:rsid w:val="00BE6F95"/>
    <w:rsid w:val="00C0171A"/>
    <w:rsid w:val="00C017D4"/>
    <w:rsid w:val="00C02424"/>
    <w:rsid w:val="00C02F72"/>
    <w:rsid w:val="00C164FC"/>
    <w:rsid w:val="00C16E6E"/>
    <w:rsid w:val="00C2112E"/>
    <w:rsid w:val="00C2606F"/>
    <w:rsid w:val="00C40C3C"/>
    <w:rsid w:val="00C417F6"/>
    <w:rsid w:val="00C42A20"/>
    <w:rsid w:val="00C55460"/>
    <w:rsid w:val="00C64E8D"/>
    <w:rsid w:val="00C66D01"/>
    <w:rsid w:val="00C7363D"/>
    <w:rsid w:val="00C75759"/>
    <w:rsid w:val="00C83699"/>
    <w:rsid w:val="00C852E2"/>
    <w:rsid w:val="00C955CE"/>
    <w:rsid w:val="00CA2526"/>
    <w:rsid w:val="00CA64D7"/>
    <w:rsid w:val="00CA6594"/>
    <w:rsid w:val="00CA7CAC"/>
    <w:rsid w:val="00CB3257"/>
    <w:rsid w:val="00CB39FE"/>
    <w:rsid w:val="00CD4AAB"/>
    <w:rsid w:val="00CF0A59"/>
    <w:rsid w:val="00D030F8"/>
    <w:rsid w:val="00D0557F"/>
    <w:rsid w:val="00D0756F"/>
    <w:rsid w:val="00D15733"/>
    <w:rsid w:val="00D3329E"/>
    <w:rsid w:val="00D37BEB"/>
    <w:rsid w:val="00D549C4"/>
    <w:rsid w:val="00D610E6"/>
    <w:rsid w:val="00D65599"/>
    <w:rsid w:val="00D74029"/>
    <w:rsid w:val="00D845FA"/>
    <w:rsid w:val="00D851C5"/>
    <w:rsid w:val="00D933C6"/>
    <w:rsid w:val="00D962EC"/>
    <w:rsid w:val="00DA3D07"/>
    <w:rsid w:val="00DB11ED"/>
    <w:rsid w:val="00DC0A97"/>
    <w:rsid w:val="00DC658E"/>
    <w:rsid w:val="00DE1A8B"/>
    <w:rsid w:val="00DF4895"/>
    <w:rsid w:val="00E12557"/>
    <w:rsid w:val="00E163E5"/>
    <w:rsid w:val="00E233BC"/>
    <w:rsid w:val="00E31079"/>
    <w:rsid w:val="00E32F73"/>
    <w:rsid w:val="00E45FCB"/>
    <w:rsid w:val="00E45FD7"/>
    <w:rsid w:val="00E472F9"/>
    <w:rsid w:val="00E73E16"/>
    <w:rsid w:val="00E74B99"/>
    <w:rsid w:val="00E8498D"/>
    <w:rsid w:val="00E910E3"/>
    <w:rsid w:val="00E9659C"/>
    <w:rsid w:val="00EA3556"/>
    <w:rsid w:val="00EA62F8"/>
    <w:rsid w:val="00EB1119"/>
    <w:rsid w:val="00EB30EA"/>
    <w:rsid w:val="00EB63DC"/>
    <w:rsid w:val="00EC0813"/>
    <w:rsid w:val="00ED08B3"/>
    <w:rsid w:val="00EF0772"/>
    <w:rsid w:val="00EF1818"/>
    <w:rsid w:val="00EF2EF2"/>
    <w:rsid w:val="00EF4CAE"/>
    <w:rsid w:val="00F0437F"/>
    <w:rsid w:val="00F0773B"/>
    <w:rsid w:val="00F13A0D"/>
    <w:rsid w:val="00F16100"/>
    <w:rsid w:val="00F1632C"/>
    <w:rsid w:val="00F22D40"/>
    <w:rsid w:val="00F30691"/>
    <w:rsid w:val="00F31FD2"/>
    <w:rsid w:val="00F369B8"/>
    <w:rsid w:val="00F4191E"/>
    <w:rsid w:val="00F57AF2"/>
    <w:rsid w:val="00F61B5C"/>
    <w:rsid w:val="00F71F04"/>
    <w:rsid w:val="00F769DF"/>
    <w:rsid w:val="00F91056"/>
    <w:rsid w:val="00F93518"/>
    <w:rsid w:val="00FA02B5"/>
    <w:rsid w:val="00FA4933"/>
    <w:rsid w:val="00FB07AE"/>
    <w:rsid w:val="00FB1C20"/>
    <w:rsid w:val="00FC2299"/>
    <w:rsid w:val="00FD4C0C"/>
    <w:rsid w:val="00FD5047"/>
    <w:rsid w:val="00FE7EF0"/>
    <w:rsid w:val="00FF0A88"/>
    <w:rsid w:val="00FF5453"/>
    <w:rsid w:val="00FF5709"/>
    <w:rsid w:val="00FF5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aliases w:val="Strip,H&amp;P List Paragraph"/>
    <w:basedOn w:val="Normal"/>
    <w:link w:val="ListParagraphChar"/>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aliases w:val="Strip Char,H&amp;P List Paragraph Char"/>
    <w:link w:val="ListParagraph"/>
    <w:uiPriority w:val="34"/>
    <w:locked/>
    <w:rsid w:val="00754DB3"/>
    <w:rPr>
      <w:rFonts w:ascii="Cambria" w:eastAsia="Cambria" w:hAnsi="Cambria" w:cs="Times New Roman"/>
      <w:sz w:val="24"/>
      <w:szCs w:val="24"/>
    </w:rPr>
  </w:style>
  <w:style w:type="character" w:styleId="Emphasis">
    <w:name w:val="Emphasis"/>
    <w:qFormat/>
    <w:rsid w:val="00E965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110661544">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 w:id="18681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ikumi.lv/ta/id/55567-administrativa-procesa-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ub.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BDB2-8238-4769-93B7-0F272278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lenovouser</cp:lastModifiedBy>
  <cp:revision>11</cp:revision>
  <cp:lastPrinted>2017-04-24T11:09:00Z</cp:lastPrinted>
  <dcterms:created xsi:type="dcterms:W3CDTF">2017-09-07T13:43:00Z</dcterms:created>
  <dcterms:modified xsi:type="dcterms:W3CDTF">2017-09-08T07:09:00Z</dcterms:modified>
</cp:coreProperties>
</file>